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61B87" w14:textId="19C475FD" w:rsidR="0057704A" w:rsidRDefault="004A66A7">
      <w:pPr>
        <w:pStyle w:val="Citazioneintensa"/>
        <w:pBdr>
          <w:top w:val="single" w:sz="18" w:space="10" w:color="5B9BD5"/>
          <w:left w:val="single" w:sz="18" w:space="4" w:color="5B9BD5"/>
          <w:bottom w:val="single" w:sz="18" w:space="10" w:color="5B9BD5"/>
          <w:right w:val="single" w:sz="18" w:space="4" w:color="5B9BD5"/>
        </w:pBdr>
        <w:shd w:val="clear" w:color="auto" w:fill="70AD47"/>
        <w:spacing w:before="0" w:after="0" w:line="240" w:lineRule="auto"/>
        <w:ind w:left="0" w:right="-1"/>
      </w:pPr>
      <w:r>
        <w:rPr>
          <w:noProof/>
        </w:rPr>
        <w:drawing>
          <wp:anchor distT="0" distB="0" distL="114300" distR="114300" simplePos="0" relativeHeight="251658240" behindDoc="0" locked="0" layoutInCell="1" allowOverlap="1" wp14:anchorId="79161B87" wp14:editId="3C9E237E">
            <wp:simplePos x="0" y="0"/>
            <wp:positionH relativeFrom="margin">
              <wp:posOffset>16510</wp:posOffset>
            </wp:positionH>
            <wp:positionV relativeFrom="page">
              <wp:align>top</wp:align>
            </wp:positionV>
            <wp:extent cx="1393825" cy="224790"/>
            <wp:effectExtent l="0" t="0" r="0" b="3810"/>
            <wp:wrapSquare wrapText="bothSides"/>
            <wp:docPr id="527850426" name="Immagine 40771488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393825" cy="224790"/>
                    </a:xfrm>
                    <a:prstGeom prst="rect">
                      <a:avLst/>
                    </a:prstGeom>
                    <a:noFill/>
                    <a:ln>
                      <a:noFill/>
                      <a:prstDash/>
                    </a:ln>
                  </pic:spPr>
                </pic:pic>
              </a:graphicData>
            </a:graphic>
            <wp14:sizeRelH relativeFrom="margin">
              <wp14:pctWidth>0</wp14:pctWidth>
            </wp14:sizeRelH>
          </wp:anchor>
        </w:drawing>
      </w:r>
      <w:r>
        <w:rPr>
          <w:rFonts w:ascii="Calibri Light" w:hAnsi="Calibri Light" w:cs="Calibri Light"/>
          <w:b/>
          <w:i w:val="0"/>
          <w:iCs w:val="0"/>
          <w:color w:val="FFFFFF"/>
          <w:sz w:val="28"/>
          <w:szCs w:val="28"/>
        </w:rPr>
        <w:t>Innovazione sociale nella Programmazione FSE+ 2021 – 2027:</w:t>
      </w:r>
    </w:p>
    <w:p w14:paraId="79161B88" w14:textId="77777777" w:rsidR="0057704A" w:rsidRDefault="004A66A7">
      <w:pPr>
        <w:pStyle w:val="Citazioneintensa"/>
        <w:pBdr>
          <w:top w:val="single" w:sz="18" w:space="10" w:color="5B9BD5"/>
          <w:left w:val="single" w:sz="18" w:space="4" w:color="5B9BD5"/>
          <w:bottom w:val="single" w:sz="18" w:space="10" w:color="5B9BD5"/>
          <w:right w:val="single" w:sz="18" w:space="4" w:color="5B9BD5"/>
        </w:pBdr>
        <w:shd w:val="clear" w:color="auto" w:fill="70AD47"/>
        <w:spacing w:before="0" w:after="0" w:line="240" w:lineRule="auto"/>
        <w:ind w:left="0" w:right="-1"/>
      </w:pPr>
      <w:r>
        <w:rPr>
          <w:rFonts w:ascii="Calibri Light" w:hAnsi="Calibri Light" w:cs="Calibri Light"/>
          <w:b/>
          <w:i w:val="0"/>
          <w:iCs w:val="0"/>
          <w:color w:val="FFFFFF"/>
          <w:sz w:val="28"/>
          <w:szCs w:val="28"/>
        </w:rPr>
        <w:t>interventi previsti nei PR e buone pratiche europee</w:t>
      </w:r>
    </w:p>
    <w:p w14:paraId="79161B89" w14:textId="77777777" w:rsidR="0057704A" w:rsidRDefault="0057704A">
      <w:pPr>
        <w:pStyle w:val="Standard"/>
        <w:spacing w:after="0" w:line="240" w:lineRule="auto"/>
        <w:ind w:right="-1"/>
        <w:jc w:val="both"/>
      </w:pPr>
    </w:p>
    <w:p w14:paraId="79161B8A" w14:textId="77777777" w:rsidR="0057704A" w:rsidRDefault="0057704A">
      <w:pPr>
        <w:pStyle w:val="Standard"/>
        <w:spacing w:after="0" w:line="240" w:lineRule="auto"/>
      </w:pPr>
    </w:p>
    <w:p w14:paraId="79161B8B" w14:textId="77777777" w:rsidR="0057704A" w:rsidRDefault="004A66A7">
      <w:pPr>
        <w:pStyle w:val="ContentsHeading"/>
        <w:spacing w:before="0" w:line="240" w:lineRule="auto"/>
        <w:outlineLvl w:val="9"/>
      </w:pPr>
      <w:r>
        <w:rPr>
          <w:sz w:val="24"/>
          <w:szCs w:val="24"/>
        </w:rPr>
        <w:t>Sommario</w:t>
      </w:r>
    </w:p>
    <w:p w14:paraId="79161B8C" w14:textId="77777777" w:rsidR="0057704A" w:rsidRDefault="004A66A7">
      <w:pPr>
        <w:pStyle w:val="Contents2"/>
        <w:tabs>
          <w:tab w:val="clear" w:pos="9848"/>
          <w:tab w:val="right" w:leader="dot" w:pos="9858"/>
        </w:tabs>
      </w:pPr>
      <w:r>
        <w:rPr>
          <w:rFonts w:ascii="Calibri Light" w:hAnsi="Calibri Light"/>
          <w:color w:val="2E74B5"/>
          <w:sz w:val="32"/>
          <w:szCs w:val="32"/>
          <w:lang w:eastAsia="it-IT"/>
        </w:rPr>
        <w:fldChar w:fldCharType="begin"/>
      </w:r>
      <w:r>
        <w:instrText xml:space="preserve"> TOC \o "1-3" \u \h </w:instrText>
      </w:r>
      <w:r>
        <w:rPr>
          <w:rFonts w:ascii="Calibri Light" w:hAnsi="Calibri Light"/>
          <w:color w:val="2E74B5"/>
          <w:sz w:val="32"/>
          <w:szCs w:val="32"/>
          <w:lang w:eastAsia="it-IT"/>
        </w:rPr>
        <w:fldChar w:fldCharType="separate"/>
      </w:r>
      <w:hyperlink w:anchor="__RefHeading__7786_183342921" w:history="1">
        <w:r>
          <w:t>Parte I - L’Innovazione sociale nella programmazione 2021-2027 del FSE+</w:t>
        </w:r>
        <w:r>
          <w:tab/>
          <w:t>1</w:t>
        </w:r>
      </w:hyperlink>
    </w:p>
    <w:p w14:paraId="79161B8D" w14:textId="77777777" w:rsidR="0057704A" w:rsidRDefault="00063B40">
      <w:pPr>
        <w:pStyle w:val="Contents3"/>
        <w:tabs>
          <w:tab w:val="clear" w:pos="10068"/>
          <w:tab w:val="right" w:leader="dot" w:pos="10078"/>
        </w:tabs>
      </w:pPr>
      <w:hyperlink w:anchor="__RefHeading__7788_183342921" w:history="1">
        <w:r w:rsidR="004A66A7">
          <w:t>Uno sguardo all’Europa</w:t>
        </w:r>
        <w:r w:rsidR="004A66A7">
          <w:tab/>
          <w:t>2</w:t>
        </w:r>
      </w:hyperlink>
    </w:p>
    <w:p w14:paraId="79161B8E" w14:textId="77777777" w:rsidR="0057704A" w:rsidRDefault="00063B40">
      <w:pPr>
        <w:pStyle w:val="Contents3"/>
        <w:tabs>
          <w:tab w:val="clear" w:pos="10068"/>
          <w:tab w:val="right" w:leader="dot" w:pos="10078"/>
        </w:tabs>
      </w:pPr>
      <w:hyperlink w:anchor="__RefHeading__7790_183342921" w:history="1">
        <w:r w:rsidR="004A66A7">
          <w:t xml:space="preserve">La Programmazione In Italia </w:t>
        </w:r>
        <w:r w:rsidR="004A66A7">
          <w:tab/>
          <w:t>2</w:t>
        </w:r>
      </w:hyperlink>
    </w:p>
    <w:p w14:paraId="79161B8F" w14:textId="77777777" w:rsidR="0057704A" w:rsidRDefault="00063B40">
      <w:pPr>
        <w:pStyle w:val="Contents3"/>
        <w:tabs>
          <w:tab w:val="clear" w:pos="10068"/>
          <w:tab w:val="right" w:leader="dot" w:pos="10078"/>
        </w:tabs>
      </w:pPr>
      <w:hyperlink w:anchor="__RefHeading__7792_183342921" w:history="1">
        <w:r w:rsidR="004A66A7">
          <w:t xml:space="preserve">I programmi regionali </w:t>
        </w:r>
        <w:r w:rsidR="004A66A7">
          <w:tab/>
          <w:t>2</w:t>
        </w:r>
      </w:hyperlink>
    </w:p>
    <w:p w14:paraId="79161B90" w14:textId="77777777" w:rsidR="0057704A" w:rsidRDefault="00063B40">
      <w:pPr>
        <w:pStyle w:val="Contents3"/>
        <w:tabs>
          <w:tab w:val="clear" w:pos="10068"/>
          <w:tab w:val="right" w:leader="dot" w:pos="10078"/>
        </w:tabs>
      </w:pPr>
      <w:hyperlink w:anchor="__RefHeading__7794_183342921" w:history="1">
        <w:r w:rsidR="004A66A7">
          <w:t xml:space="preserve">I programmi nazionali </w:t>
        </w:r>
        <w:r w:rsidR="004A66A7">
          <w:tab/>
          <w:t>8</w:t>
        </w:r>
      </w:hyperlink>
    </w:p>
    <w:p w14:paraId="79161B91" w14:textId="77777777" w:rsidR="0057704A" w:rsidRDefault="00063B40">
      <w:pPr>
        <w:pStyle w:val="Contents2"/>
        <w:tabs>
          <w:tab w:val="clear" w:pos="9848"/>
          <w:tab w:val="right" w:leader="dot" w:pos="9858"/>
        </w:tabs>
      </w:pPr>
      <w:hyperlink w:anchor="__RefHeading__7796_183342921" w:history="1">
        <w:r w:rsidR="004A66A7">
          <w:t xml:space="preserve">Parte II – La piattaforma europea Social Innovation Match (SIM): i casi studio </w:t>
        </w:r>
        <w:r w:rsidR="004A66A7">
          <w:tab/>
          <w:t>9</w:t>
        </w:r>
      </w:hyperlink>
    </w:p>
    <w:p w14:paraId="79161B92" w14:textId="77777777" w:rsidR="0057704A" w:rsidRDefault="004A66A7">
      <w:pPr>
        <w:pStyle w:val="Standard"/>
        <w:spacing w:after="0" w:line="240" w:lineRule="auto"/>
      </w:pPr>
      <w:r>
        <w:rPr>
          <w:b/>
          <w:bCs/>
          <w:color w:val="034990"/>
        </w:rPr>
        <w:fldChar w:fldCharType="end"/>
      </w:r>
      <w:hyperlink w:anchor="_Toc133396403" w:history="1"/>
    </w:p>
    <w:p w14:paraId="79161B93" w14:textId="77777777" w:rsidR="0057704A" w:rsidRDefault="004A66A7" w:rsidP="002C3B5D">
      <w:pPr>
        <w:pStyle w:val="Standard"/>
        <w:spacing w:after="0" w:line="240" w:lineRule="auto"/>
        <w:jc w:val="both"/>
      </w:pPr>
      <w:r>
        <w:rPr>
          <w:rFonts w:cs="Calibri"/>
          <w:b/>
          <w:bCs/>
          <w:color w:val="2F5496"/>
        </w:rPr>
        <w:t xml:space="preserve">Allegato – </w:t>
      </w:r>
      <w:r>
        <w:rPr>
          <w:rFonts w:cs="Calibri"/>
          <w:b/>
          <w:bCs/>
          <w:i/>
          <w:iCs/>
          <w:color w:val="2F5496"/>
        </w:rPr>
        <w:t>Ricognizione interventi di innovazione sociale nei Programmi regionali FSE+</w:t>
      </w:r>
    </w:p>
    <w:p w14:paraId="79161B94" w14:textId="77777777" w:rsidR="0057704A" w:rsidRDefault="004A66A7" w:rsidP="002C3B5D">
      <w:pPr>
        <w:pStyle w:val="Standard"/>
        <w:spacing w:after="0" w:line="240" w:lineRule="auto"/>
        <w:jc w:val="both"/>
      </w:pPr>
      <w:r>
        <w:rPr>
          <w:rFonts w:cs="Calibri"/>
          <w:b/>
          <w:bCs/>
          <w:color w:val="2F5496"/>
        </w:rPr>
        <w:t xml:space="preserve">Appendice – </w:t>
      </w:r>
      <w:r>
        <w:rPr>
          <w:rFonts w:cs="Calibri"/>
          <w:b/>
          <w:bCs/>
          <w:i/>
          <w:iCs/>
          <w:color w:val="2F5496"/>
        </w:rPr>
        <w:t>Guide della Commissione europea sul tema dell’innovazione sociale</w:t>
      </w:r>
    </w:p>
    <w:p w14:paraId="79161B95" w14:textId="77777777" w:rsidR="0057704A" w:rsidRDefault="0057704A" w:rsidP="002C3B5D">
      <w:pPr>
        <w:pStyle w:val="Standard"/>
        <w:spacing w:after="0" w:line="240" w:lineRule="auto"/>
        <w:jc w:val="both"/>
        <w:rPr>
          <w:rFonts w:eastAsia="Times New Roman" w:cs="Calibri"/>
          <w:sz w:val="10"/>
          <w:szCs w:val="10"/>
          <w:lang w:eastAsia="it-IT"/>
        </w:rPr>
      </w:pPr>
    </w:p>
    <w:p w14:paraId="79161B96" w14:textId="77777777" w:rsidR="0057704A" w:rsidRDefault="004A66A7">
      <w:pPr>
        <w:pStyle w:val="Standard"/>
        <w:spacing w:after="0" w:line="240" w:lineRule="auto"/>
        <w:jc w:val="both"/>
      </w:pPr>
      <w:r>
        <w:rPr>
          <w:rFonts w:eastAsia="Times New Roman" w:cs="Calibri"/>
          <w:lang w:eastAsia="it-IT"/>
        </w:rPr>
        <w:t>In considerazione del rilievo assunto nel ciclo di programmazione 2021-2027 e in continuità con i precedenti documenti elaborati da Tecnostruttura nel periodo 2014-2020</w:t>
      </w:r>
      <w:r>
        <w:rPr>
          <w:rStyle w:val="Rimandonotaapidipagina"/>
        </w:rPr>
        <w:footnoteReference w:id="1"/>
      </w:r>
      <w:r>
        <w:rPr>
          <w:rFonts w:eastAsia="Times New Roman" w:cs="Calibri"/>
          <w:lang w:eastAsia="it-IT"/>
        </w:rPr>
        <w:t>, si è ritenuto utile</w:t>
      </w:r>
      <w:r>
        <w:rPr>
          <w:rFonts w:eastAsia="Times New Roman" w:cs="Calibri"/>
          <w:b/>
          <w:bCs/>
          <w:lang w:eastAsia="it-IT"/>
        </w:rPr>
        <w:t xml:space="preserve"> </w:t>
      </w:r>
      <w:r>
        <w:rPr>
          <w:rFonts w:eastAsia="Times New Roman" w:cs="Calibri"/>
          <w:lang w:eastAsia="it-IT"/>
        </w:rPr>
        <w:t xml:space="preserve">predisporre questo </w:t>
      </w:r>
      <w:r>
        <w:rPr>
          <w:rFonts w:eastAsia="Times New Roman" w:cs="Calibri"/>
          <w:b/>
          <w:bCs/>
          <w:lang w:eastAsia="it-IT"/>
        </w:rPr>
        <w:t>primo</w:t>
      </w:r>
      <w:r>
        <w:rPr>
          <w:rFonts w:eastAsia="Times New Roman" w:cs="Calibri"/>
          <w:lang w:eastAsia="it-IT"/>
        </w:rPr>
        <w:t xml:space="preserve"> </w:t>
      </w:r>
      <w:r>
        <w:rPr>
          <w:rFonts w:eastAsia="Times New Roman" w:cs="Calibri"/>
          <w:b/>
          <w:bCs/>
          <w:lang w:eastAsia="it-IT"/>
        </w:rPr>
        <w:t xml:space="preserve">focus sull’innovazione sociale, </w:t>
      </w:r>
      <w:r>
        <w:rPr>
          <w:rFonts w:eastAsia="Times New Roman" w:cs="Calibri"/>
          <w:lang w:eastAsia="it-IT"/>
        </w:rPr>
        <w:t>al fine sia</w:t>
      </w:r>
      <w:r>
        <w:rPr>
          <w:rFonts w:eastAsia="Times New Roman" w:cs="Calibri"/>
          <w:b/>
          <w:bCs/>
          <w:lang w:eastAsia="it-IT"/>
        </w:rPr>
        <w:t xml:space="preserve"> </w:t>
      </w:r>
      <w:r>
        <w:rPr>
          <w:rFonts w:eastAsia="Times New Roman" w:cs="Calibri"/>
          <w:lang w:eastAsia="it-IT"/>
        </w:rPr>
        <w:t xml:space="preserve">di restituire una “fotografia” completa delle </w:t>
      </w:r>
      <w:r>
        <w:rPr>
          <w:rFonts w:eastAsia="Times New Roman" w:cs="Calibri"/>
          <w:u w:val="single"/>
          <w:lang w:eastAsia="it-IT"/>
        </w:rPr>
        <w:t>previsioni contenute nei Programmi FSE+,</w:t>
      </w:r>
      <w:r>
        <w:rPr>
          <w:rFonts w:eastAsia="Times New Roman" w:cs="Calibri"/>
          <w:lang w:eastAsia="it-IT"/>
        </w:rPr>
        <w:t xml:space="preserve"> alla luce della approvazione della totalità di questi da parte della CE, sia di fornire una panoramica in merito alle </w:t>
      </w:r>
      <w:r>
        <w:rPr>
          <w:rFonts w:eastAsia="Times New Roman" w:cs="Calibri"/>
          <w:u w:val="single"/>
          <w:lang w:eastAsia="it-IT"/>
        </w:rPr>
        <w:t>misure e gli strumenti introdotti a livello dell’UE</w:t>
      </w:r>
      <w:r>
        <w:rPr>
          <w:rFonts w:eastAsia="Times New Roman" w:cs="Calibri"/>
          <w:lang w:eastAsia="it-IT"/>
        </w:rPr>
        <w:t xml:space="preserve"> a sostegno dell’innovazione sociale, anche in un’ottica di accompagnamento alle AdG in questa prima fase di attuazione dei programmi.</w:t>
      </w:r>
    </w:p>
    <w:p w14:paraId="79161B97" w14:textId="77777777" w:rsidR="0057704A" w:rsidRDefault="0057704A">
      <w:pPr>
        <w:pStyle w:val="Standard"/>
        <w:spacing w:after="0" w:line="240" w:lineRule="auto"/>
        <w:jc w:val="both"/>
        <w:rPr>
          <w:rFonts w:eastAsia="Times New Roman" w:cs="Calibri"/>
          <w:sz w:val="10"/>
          <w:szCs w:val="10"/>
          <w:lang w:eastAsia="it-IT"/>
        </w:rPr>
      </w:pPr>
    </w:p>
    <w:p w14:paraId="79161B98" w14:textId="77777777" w:rsidR="0057704A" w:rsidRDefault="004A66A7">
      <w:pPr>
        <w:pStyle w:val="Standard"/>
        <w:spacing w:after="0" w:line="240" w:lineRule="auto"/>
        <w:jc w:val="both"/>
      </w:pPr>
      <w:r>
        <w:rPr>
          <w:rFonts w:eastAsia="Times New Roman" w:cs="Calibri"/>
          <w:lang w:eastAsia="it-IT"/>
        </w:rPr>
        <w:t>Più nel dettaglio il documento che segue è articolato in due parti:</w:t>
      </w:r>
    </w:p>
    <w:p w14:paraId="79161B99" w14:textId="77777777" w:rsidR="0057704A" w:rsidRDefault="004A66A7">
      <w:pPr>
        <w:pStyle w:val="Paragrafoelenco"/>
        <w:numPr>
          <w:ilvl w:val="0"/>
          <w:numId w:val="47"/>
        </w:numPr>
        <w:spacing w:after="0" w:line="240" w:lineRule="auto"/>
        <w:jc w:val="both"/>
      </w:pPr>
      <w:r>
        <w:rPr>
          <w:rFonts w:eastAsia="Times New Roman" w:cs="Calibri"/>
          <w:lang w:eastAsia="it-IT"/>
        </w:rPr>
        <w:t xml:space="preserve">la prima parte delinea </w:t>
      </w:r>
      <w:r>
        <w:rPr>
          <w:rFonts w:eastAsia="Times New Roman" w:cs="Calibri"/>
          <w:u w:val="single"/>
          <w:lang w:eastAsia="it-IT"/>
        </w:rPr>
        <w:t>l’approccio strategico-programmatico a supporto dell’innovazione sociale</w:t>
      </w:r>
      <w:r>
        <w:rPr>
          <w:rFonts w:eastAsia="Times New Roman" w:cs="Calibri"/>
          <w:lang w:eastAsia="it-IT"/>
        </w:rPr>
        <w:t xml:space="preserve"> sia a livello regionale che nazionale; con riferimento ai PR FSE+, si fornisce inoltre una lettura più analitica degli interventi previsti, operata sulla base di una puntuale ricognizione degli stessi</w:t>
      </w:r>
      <w:r>
        <w:rPr>
          <w:rStyle w:val="Rimandonotaapidipagina"/>
          <w:rFonts w:eastAsia="Times New Roman" w:cs="Calibri"/>
          <w:lang w:eastAsia="it-IT"/>
        </w:rPr>
        <w:footnoteReference w:id="2"/>
      </w:r>
      <w:r>
        <w:rPr>
          <w:rFonts w:eastAsia="Times New Roman" w:cs="Calibri"/>
          <w:lang w:eastAsia="it-IT"/>
        </w:rPr>
        <w:t xml:space="preserve">, riportata </w:t>
      </w:r>
      <w:r>
        <w:rPr>
          <w:rFonts w:eastAsia="Times New Roman" w:cs="Calibri"/>
          <w:b/>
          <w:bCs/>
          <w:i/>
          <w:iCs/>
          <w:lang w:eastAsia="it-IT"/>
        </w:rPr>
        <w:t>nell’Allegato</w:t>
      </w:r>
      <w:r>
        <w:rPr>
          <w:rFonts w:eastAsia="Times New Roman" w:cs="Calibri"/>
          <w:lang w:eastAsia="it-IT"/>
        </w:rPr>
        <w:t>.</w:t>
      </w:r>
    </w:p>
    <w:p w14:paraId="79161B9A" w14:textId="77777777" w:rsidR="0057704A" w:rsidRDefault="004A66A7">
      <w:pPr>
        <w:pStyle w:val="Paragrafoelenco"/>
        <w:numPr>
          <w:ilvl w:val="0"/>
          <w:numId w:val="25"/>
        </w:numPr>
        <w:spacing w:after="0" w:line="240" w:lineRule="auto"/>
        <w:jc w:val="both"/>
      </w:pPr>
      <w:r>
        <w:rPr>
          <w:rFonts w:eastAsia="Times New Roman" w:cs="Calibri"/>
          <w:lang w:eastAsia="it-IT"/>
        </w:rPr>
        <w:t xml:space="preserve">la seconda parte fornisce un </w:t>
      </w:r>
      <w:r>
        <w:rPr>
          <w:rFonts w:eastAsia="Times New Roman" w:cs="Calibri"/>
          <w:u w:val="single"/>
          <w:lang w:eastAsia="it-IT"/>
        </w:rPr>
        <w:t>ventaglio di</w:t>
      </w:r>
      <w:r>
        <w:rPr>
          <w:rFonts w:cs="Calibri"/>
          <w:u w:val="single"/>
        </w:rPr>
        <w:t xml:space="preserve"> buone pratiche (casi studio) </w:t>
      </w:r>
      <w:r>
        <w:rPr>
          <w:rFonts w:eastAsia="Times New Roman" w:cs="Calibri"/>
          <w:u w:val="single"/>
          <w:lang w:eastAsia="it-IT"/>
        </w:rPr>
        <w:t>realizzate dagli Stati membri dell’UE</w:t>
      </w:r>
      <w:r>
        <w:rPr>
          <w:rFonts w:eastAsia="Times New Roman" w:cs="Calibri"/>
          <w:lang w:eastAsia="it-IT"/>
        </w:rPr>
        <w:t xml:space="preserve"> con il sostegno del FSE/FSE+, estrapolate dalla </w:t>
      </w:r>
      <w:r>
        <w:rPr>
          <w:rFonts w:cs="Calibri"/>
        </w:rPr>
        <w:t xml:space="preserve">piattaforma europea </w:t>
      </w:r>
      <w:r>
        <w:rPr>
          <w:rFonts w:cs="Calibri"/>
          <w:b/>
          <w:bCs/>
          <w:i/>
          <w:iCs/>
        </w:rPr>
        <w:t>Social Innovation Match.</w:t>
      </w:r>
    </w:p>
    <w:p w14:paraId="79161B9B" w14:textId="77777777" w:rsidR="0057704A" w:rsidRDefault="0057704A">
      <w:pPr>
        <w:pStyle w:val="Paragrafoelenco"/>
        <w:spacing w:after="0" w:line="240" w:lineRule="auto"/>
        <w:ind w:left="360"/>
        <w:jc w:val="both"/>
        <w:rPr>
          <w:rFonts w:cs="Calibri"/>
        </w:rPr>
      </w:pPr>
    </w:p>
    <w:p w14:paraId="79161B9C" w14:textId="77777777" w:rsidR="0057704A" w:rsidRDefault="004A66A7">
      <w:pPr>
        <w:pStyle w:val="Standard"/>
        <w:spacing w:after="0" w:line="240" w:lineRule="auto"/>
        <w:jc w:val="both"/>
        <w:rPr>
          <w:rFonts w:cs="Calibri"/>
          <w:b/>
          <w:bCs/>
          <w:color w:val="0070C0"/>
        </w:rPr>
      </w:pPr>
      <w:r>
        <w:rPr>
          <w:rFonts w:cs="Calibri"/>
        </w:rPr>
        <w:t xml:space="preserve">Inoltre, in </w:t>
      </w:r>
      <w:r>
        <w:rPr>
          <w:rFonts w:cs="Calibri"/>
          <w:b/>
          <w:bCs/>
          <w:i/>
          <w:iCs/>
        </w:rPr>
        <w:t>appendice</w:t>
      </w:r>
      <w:r>
        <w:rPr>
          <w:rFonts w:cs="Calibri"/>
        </w:rPr>
        <w:t xml:space="preserve"> si presentano ulteriori strumenti messi a disposizione dall’UE per sostenere l’innovazione sociale, dedicando uno specifico focus a due guide della Commissione: </w:t>
      </w:r>
      <w:r>
        <w:rPr>
          <w:rFonts w:cs="Calibri"/>
          <w:i/>
          <w:iCs/>
          <w:color w:val="0070C0"/>
        </w:rPr>
        <w:t>Sperimentazioni sociali: una guida pratica per i promotori di progetto</w:t>
      </w:r>
      <w:r>
        <w:rPr>
          <w:rFonts w:cs="Calibri"/>
        </w:rPr>
        <w:t xml:space="preserve"> e </w:t>
      </w:r>
      <w:r>
        <w:rPr>
          <w:rFonts w:cs="Calibri"/>
          <w:i/>
          <w:iCs/>
          <w:color w:val="0070C0"/>
        </w:rPr>
        <w:t>Aumentare le innovazioni sociali: sette passaggi per l'utilizzo del FSE+</w:t>
      </w:r>
      <w:r>
        <w:rPr>
          <w:rFonts w:cs="Calibri"/>
          <w:b/>
          <w:bCs/>
          <w:color w:val="0070C0"/>
        </w:rPr>
        <w:t>.</w:t>
      </w:r>
    </w:p>
    <w:p w14:paraId="203EF28E" w14:textId="77777777" w:rsidR="00870AEE" w:rsidRDefault="00870AEE">
      <w:pPr>
        <w:pStyle w:val="Standard"/>
        <w:spacing w:after="0" w:line="240" w:lineRule="auto"/>
        <w:jc w:val="both"/>
        <w:rPr>
          <w:rFonts w:cs="Calibri"/>
          <w:b/>
          <w:bCs/>
          <w:color w:val="0070C0"/>
        </w:rPr>
      </w:pPr>
    </w:p>
    <w:p w14:paraId="5C9F4760" w14:textId="77777777" w:rsidR="00870AEE" w:rsidRDefault="00870AEE">
      <w:pPr>
        <w:pStyle w:val="Standard"/>
        <w:spacing w:after="0" w:line="240" w:lineRule="auto"/>
        <w:jc w:val="both"/>
        <w:rPr>
          <w:rFonts w:cs="Calibri"/>
          <w:b/>
          <w:bCs/>
          <w:color w:val="0070C0"/>
        </w:rPr>
      </w:pPr>
    </w:p>
    <w:p w14:paraId="4B3D68D2" w14:textId="77777777" w:rsidR="00870AEE" w:rsidRDefault="00870AEE">
      <w:pPr>
        <w:pStyle w:val="Standard"/>
        <w:spacing w:after="0" w:line="240" w:lineRule="auto"/>
        <w:jc w:val="both"/>
      </w:pPr>
    </w:p>
    <w:p w14:paraId="79161B9D" w14:textId="77777777" w:rsidR="0057704A" w:rsidRDefault="0057704A">
      <w:pPr>
        <w:pStyle w:val="Titolo2"/>
        <w:spacing w:before="0" w:line="240" w:lineRule="auto"/>
        <w:rPr>
          <w:b/>
          <w:bCs/>
          <w:color w:val="2F5496"/>
        </w:rPr>
      </w:pPr>
    </w:p>
    <w:p w14:paraId="79161B9E" w14:textId="77777777" w:rsidR="0057704A" w:rsidRDefault="004A66A7">
      <w:pPr>
        <w:pStyle w:val="Titolo2"/>
        <w:spacing w:before="0" w:line="240" w:lineRule="auto"/>
      </w:pPr>
      <w:bookmarkStart w:id="0" w:name="__RefHeading__7786_183342921"/>
      <w:bookmarkStart w:id="1" w:name="_Toc133396403"/>
      <w:r>
        <w:rPr>
          <w:b/>
          <w:bCs/>
          <w:i/>
          <w:iCs/>
          <w:color w:val="2F5496"/>
        </w:rPr>
        <w:t xml:space="preserve">Parte I - </w:t>
      </w:r>
      <w:r>
        <w:rPr>
          <w:b/>
          <w:bCs/>
          <w:color w:val="2F5496"/>
        </w:rPr>
        <w:t>L’Innovazione sociale nella programmazione 2021-2027 del FSE+</w:t>
      </w:r>
      <w:bookmarkEnd w:id="0"/>
      <w:bookmarkEnd w:id="1"/>
    </w:p>
    <w:p w14:paraId="79161B9F" w14:textId="77777777" w:rsidR="0057704A" w:rsidRDefault="0057704A">
      <w:pPr>
        <w:pStyle w:val="Standard"/>
        <w:pBdr>
          <w:bottom w:val="single" w:sz="4" w:space="1" w:color="00000A"/>
        </w:pBdr>
        <w:spacing w:after="0" w:line="240" w:lineRule="auto"/>
        <w:jc w:val="both"/>
        <w:rPr>
          <w:i/>
          <w:iCs/>
          <w:color w:val="2F5496"/>
          <w:sz w:val="16"/>
          <w:szCs w:val="16"/>
        </w:rPr>
      </w:pPr>
    </w:p>
    <w:p w14:paraId="79161BA0" w14:textId="77777777" w:rsidR="0057704A" w:rsidRDefault="0057704A">
      <w:pPr>
        <w:pStyle w:val="Standard"/>
        <w:spacing w:after="0" w:line="240" w:lineRule="auto"/>
        <w:ind w:right="-1"/>
        <w:rPr>
          <w:color w:val="2E74B5"/>
          <w:sz w:val="10"/>
          <w:szCs w:val="10"/>
        </w:rPr>
      </w:pPr>
    </w:p>
    <w:p w14:paraId="79161BA1" w14:textId="77777777" w:rsidR="0057704A" w:rsidRDefault="004A66A7">
      <w:pPr>
        <w:pStyle w:val="Titolo3"/>
        <w:spacing w:before="0" w:line="240" w:lineRule="auto"/>
      </w:pPr>
      <w:bookmarkStart w:id="2" w:name="__RefHeading__7788_183342921"/>
      <w:bookmarkStart w:id="3" w:name="_Toc133396404"/>
      <w:r>
        <w:rPr>
          <w:b/>
          <w:bCs/>
          <w:color w:val="2F5496"/>
        </w:rPr>
        <w:t>Uno sguardo all’Europa</w:t>
      </w:r>
      <w:bookmarkEnd w:id="2"/>
      <w:bookmarkEnd w:id="3"/>
    </w:p>
    <w:p w14:paraId="79161BA2" w14:textId="77777777" w:rsidR="0057704A" w:rsidRDefault="004A66A7">
      <w:pPr>
        <w:pStyle w:val="Standard"/>
        <w:spacing w:after="0" w:line="240" w:lineRule="auto"/>
        <w:jc w:val="both"/>
      </w:pPr>
      <w:r>
        <w:rPr>
          <w:bCs/>
        </w:rPr>
        <w:t xml:space="preserve">Lo scorso 23 febbraio 2023 si è tenuto il primo workshop on line della </w:t>
      </w:r>
      <w:r>
        <w:rPr>
          <w:b/>
        </w:rPr>
        <w:t>Comunità di pratiche sull’Innovazione sociale</w:t>
      </w:r>
      <w:r>
        <w:rPr>
          <w:bCs/>
        </w:rPr>
        <w:t xml:space="preserve"> nell’ambito allo scopo di condividere una prima analisi della Priorità dedicata all'innovazione sociale nei programmi del FSE+ degli Stati Membri, per consentire a tutte le AdG del FSE di disporre di un quadro generale nel quale posizionarsi e poter conoscere i diversi approcci al tema.</w:t>
      </w:r>
    </w:p>
    <w:p w14:paraId="79161BA3" w14:textId="44098E59" w:rsidR="0057704A" w:rsidRDefault="004A66A7">
      <w:pPr>
        <w:pStyle w:val="Standard"/>
        <w:spacing w:after="0" w:line="240" w:lineRule="auto"/>
        <w:jc w:val="both"/>
      </w:pPr>
      <w:r>
        <w:rPr>
          <w:bCs/>
        </w:rPr>
        <w:t>In tale occasione, la Commissione europea e il Centro europeo di competenza per l’innovazione sociale di cui è responsabile l’Agenzia FSE della Lituania hanno restituito i dati di una analisi desk sul contenuto dei programmi europei</w:t>
      </w:r>
      <w:r>
        <w:rPr>
          <w:rStyle w:val="Rimandonotaapidipagina"/>
        </w:rPr>
        <w:footnoteReference w:id="3"/>
      </w:r>
      <w:r>
        <w:rPr>
          <w:bCs/>
        </w:rPr>
        <w:t xml:space="preserve">, dalla quale è emerso che  un </w:t>
      </w:r>
      <w:r>
        <w:rPr>
          <w:b/>
        </w:rPr>
        <w:t xml:space="preserve">totale di 45 programmi FSE+ comprende la Priorità Azioni sociali innovative, 25 a livello nazionale e 20 a livello regionale </w:t>
      </w:r>
      <w:r>
        <w:rPr>
          <w:bCs/>
        </w:rPr>
        <w:t xml:space="preserve"> (Belgio 3, Germania 7, Spagna 6, Francia 1, Italia 2, Portogallo 1), per un valore complessivo di FSE+ che ammonterebbe a 2 107 749 713 euro.</w:t>
      </w:r>
    </w:p>
    <w:p w14:paraId="79161BA4" w14:textId="77777777" w:rsidR="0057704A" w:rsidRDefault="0057704A">
      <w:pPr>
        <w:pStyle w:val="Standard"/>
        <w:spacing w:after="0" w:line="240" w:lineRule="auto"/>
        <w:jc w:val="both"/>
      </w:pPr>
    </w:p>
    <w:p w14:paraId="79161BA5" w14:textId="77777777" w:rsidR="0057704A" w:rsidRDefault="004A66A7">
      <w:pPr>
        <w:pStyle w:val="Standard"/>
        <w:spacing w:after="0" w:line="240" w:lineRule="auto"/>
        <w:jc w:val="both"/>
      </w:pPr>
      <w:r>
        <w:t xml:space="preserve">Il contenuto delle priorità dedicate, gli </w:t>
      </w:r>
      <w:r>
        <w:rPr>
          <w:b/>
          <w:bCs/>
        </w:rPr>
        <w:t>obiettivi specifici sostenuti, gli approcci territoriali, i gruppi target, i tassi di cofinanziamento utilizzati e l’integrazione con il FESR sono molto diversi</w:t>
      </w:r>
      <w:r>
        <w:t xml:space="preserve"> tra Stati membri e programmi. La maggior parte dei programmi sostiene solo uno dei 13 obiettivi specifici del FSE+, concentrandosi principalmente su:</w:t>
      </w:r>
    </w:p>
    <w:p w14:paraId="79161BA6" w14:textId="77777777" w:rsidR="0057704A" w:rsidRDefault="004A66A7">
      <w:pPr>
        <w:pStyle w:val="Standard"/>
        <w:numPr>
          <w:ilvl w:val="0"/>
          <w:numId w:val="48"/>
        </w:numPr>
        <w:spacing w:after="0" w:line="240" w:lineRule="auto"/>
        <w:jc w:val="both"/>
      </w:pPr>
      <w:r>
        <w:t>“Misura di accesso al lavoro e attivazione per tutti” (art. 4.1(a), programmi 14),</w:t>
      </w:r>
    </w:p>
    <w:p w14:paraId="79161BA7" w14:textId="28F1FC1D" w:rsidR="0057704A" w:rsidRDefault="004A66A7">
      <w:pPr>
        <w:pStyle w:val="Standard"/>
        <w:numPr>
          <w:ilvl w:val="0"/>
          <w:numId w:val="48"/>
        </w:numPr>
        <w:spacing w:after="0" w:line="240" w:lineRule="auto"/>
        <w:jc w:val="both"/>
      </w:pPr>
      <w:r>
        <w:t>“Inclusione attiva e occupabilità” (articolo 4.1 (h), programmi 21)</w:t>
      </w:r>
      <w:r w:rsidR="00870AEE">
        <w:t>,</w:t>
      </w:r>
    </w:p>
    <w:p w14:paraId="79161BA8" w14:textId="77777777" w:rsidR="0057704A" w:rsidRDefault="004A66A7">
      <w:pPr>
        <w:pStyle w:val="Standard"/>
        <w:numPr>
          <w:ilvl w:val="0"/>
          <w:numId w:val="48"/>
        </w:numPr>
        <w:spacing w:after="0" w:line="240" w:lineRule="auto"/>
        <w:jc w:val="both"/>
      </w:pPr>
      <w:r>
        <w:t xml:space="preserve">“Parità di accesso a servizi socio-sanitari di qualità” (articolo 4.1 (k), programmi 12). </w:t>
      </w:r>
    </w:p>
    <w:p w14:paraId="79161BA9" w14:textId="77777777" w:rsidR="0057704A" w:rsidRDefault="004A66A7">
      <w:pPr>
        <w:pStyle w:val="Standard"/>
        <w:spacing w:after="0" w:line="240" w:lineRule="auto"/>
        <w:jc w:val="both"/>
      </w:pPr>
      <w:r>
        <w:t>Tuttavia, l'esame documentale ha mostrato che, anche a fronte dello stesso obiettivo specifico, gli Stati membri hanno scelto approcci, ambiti politici e misure diversi.</w:t>
      </w:r>
    </w:p>
    <w:p w14:paraId="79161BAA" w14:textId="77777777" w:rsidR="0057704A" w:rsidRDefault="004A66A7">
      <w:pPr>
        <w:pStyle w:val="Standard"/>
        <w:spacing w:after="0" w:line="240" w:lineRule="auto"/>
        <w:jc w:val="both"/>
      </w:pPr>
      <w:r>
        <w:rPr>
          <w:bCs/>
        </w:rPr>
        <w:t>Con particolare riferimento all’</w:t>
      </w:r>
      <w:r>
        <w:rPr>
          <w:b/>
        </w:rPr>
        <w:t>approccio</w:t>
      </w:r>
      <w:r>
        <w:rPr>
          <w:bCs/>
        </w:rPr>
        <w:t>, è emerso che esistono sostanzialmente due modalità di attuazione della priorità:</w:t>
      </w:r>
    </w:p>
    <w:p w14:paraId="79161BAB" w14:textId="77777777" w:rsidR="0057704A" w:rsidRDefault="004A66A7">
      <w:pPr>
        <w:pStyle w:val="Standard"/>
        <w:spacing w:after="0" w:line="240" w:lineRule="auto"/>
        <w:jc w:val="both"/>
      </w:pPr>
      <w:r>
        <w:rPr>
          <w:bCs/>
        </w:rPr>
        <w:t>-</w:t>
      </w:r>
      <w:r>
        <w:t xml:space="preserve"> un approccio più “</w:t>
      </w:r>
      <w:r>
        <w:rPr>
          <w:bCs/>
        </w:rPr>
        <w:t xml:space="preserve">policy-demand </w:t>
      </w:r>
      <w:proofErr w:type="spellStart"/>
      <w:r>
        <w:rPr>
          <w:bCs/>
        </w:rPr>
        <w:t>driven</w:t>
      </w:r>
      <w:proofErr w:type="spellEnd"/>
      <w:r>
        <w:t xml:space="preserve">” </w:t>
      </w:r>
      <w:r>
        <w:rPr>
          <w:bCs/>
        </w:rPr>
        <w:t xml:space="preserve">in cui i bisogni sociali insoddisfatti sono identificati dai decisori politici per un'area politica specifica, utilizzando un approccio dall'alto verso il basso (ad esempio: Finlandia, Cipro) ed </w:t>
      </w:r>
      <w:r>
        <w:t>intervenendo in un’ottica più trasversale per garantire uno sviluppo di metodo, funzionale all’innovazione sociale</w:t>
      </w:r>
    </w:p>
    <w:p w14:paraId="79161BAC" w14:textId="77777777" w:rsidR="0057704A" w:rsidRDefault="004A66A7">
      <w:pPr>
        <w:pStyle w:val="Standard"/>
        <w:spacing w:after="0" w:line="240" w:lineRule="auto"/>
        <w:jc w:val="both"/>
      </w:pPr>
      <w:r>
        <w:t xml:space="preserve">- un approccio “supply </w:t>
      </w:r>
      <w:proofErr w:type="spellStart"/>
      <w:r>
        <w:t>driven</w:t>
      </w:r>
      <w:proofErr w:type="spellEnd"/>
      <w:r>
        <w:t xml:space="preserve">” che parte dal basso, </w:t>
      </w:r>
      <w:r>
        <w:rPr>
          <w:bCs/>
        </w:rPr>
        <w:t>incentrato sull'ecosistema per migliorare e incrementare le iniziative di innovazione sociale</w:t>
      </w:r>
      <w:r>
        <w:t>, in cui il bisogno specifico che emerge dal territorio diventa la domanda guida per la definizione degli interventi.</w:t>
      </w:r>
      <w:r>
        <w:rPr>
          <w:bCs/>
        </w:rPr>
        <w:t xml:space="preserve"> (es: Svezia, Danimarca, Francia, Polonia)</w:t>
      </w:r>
    </w:p>
    <w:p w14:paraId="79161BAD" w14:textId="77777777" w:rsidR="0057704A" w:rsidRDefault="004A66A7">
      <w:pPr>
        <w:pStyle w:val="Standard"/>
        <w:spacing w:after="0" w:line="240" w:lineRule="auto"/>
        <w:jc w:val="both"/>
        <w:rPr>
          <w:bCs/>
        </w:rPr>
      </w:pPr>
      <w:r>
        <w:rPr>
          <w:bCs/>
        </w:rPr>
        <w:t>Entrambi gli approcci sono preziosi e possono essere combinati, come dimostrato in molti programmi. Tuttavia, presentano vantaggi e limiti diversi, in particolare in termini di selezione dei progetti e potenziale trasferimento e potenziamento.</w:t>
      </w:r>
    </w:p>
    <w:p w14:paraId="79161BAE" w14:textId="77777777" w:rsidR="0057704A" w:rsidRDefault="0057704A">
      <w:pPr>
        <w:pStyle w:val="Standard"/>
        <w:spacing w:after="0" w:line="240" w:lineRule="auto"/>
        <w:jc w:val="both"/>
        <w:rPr>
          <w:bCs/>
        </w:rPr>
      </w:pPr>
    </w:p>
    <w:p w14:paraId="79161BAF" w14:textId="77777777" w:rsidR="0057704A" w:rsidRDefault="004A66A7">
      <w:pPr>
        <w:pStyle w:val="Titolo3"/>
        <w:spacing w:before="0" w:line="240" w:lineRule="auto"/>
      </w:pPr>
      <w:bookmarkStart w:id="4" w:name="_Toc133396405"/>
      <w:bookmarkStart w:id="5" w:name="__RefHeading__7790_183342921"/>
      <w:r>
        <w:rPr>
          <w:b/>
          <w:bCs/>
          <w:color w:val="2F5496"/>
        </w:rPr>
        <w:t>La Programmazione In Italia</w:t>
      </w:r>
      <w:bookmarkEnd w:id="4"/>
      <w:bookmarkEnd w:id="5"/>
    </w:p>
    <w:p w14:paraId="79161BB0" w14:textId="153F5E96" w:rsidR="0057704A" w:rsidRDefault="004A66A7">
      <w:pPr>
        <w:pStyle w:val="Standard"/>
        <w:spacing w:after="0" w:line="240" w:lineRule="auto"/>
        <w:jc w:val="both"/>
      </w:pPr>
      <w:r>
        <w:t xml:space="preserve">Anche i programmi italiani FSE+ sia regionali sia nazionali hanno integrato l’innovazione sociale nella propria strategia di </w:t>
      </w:r>
      <w:r w:rsidR="007E175C">
        <w:t>intervento per</w:t>
      </w:r>
      <w:r>
        <w:t xml:space="preserve"> il periodo 2021-2027 in diverse modalità e con diversi approcci. </w:t>
      </w:r>
    </w:p>
    <w:p w14:paraId="79161BB1" w14:textId="77777777" w:rsidR="0057704A" w:rsidRDefault="004A66A7">
      <w:pPr>
        <w:pStyle w:val="Standard"/>
        <w:spacing w:after="0" w:line="240" w:lineRule="auto"/>
        <w:jc w:val="both"/>
      </w:pPr>
      <w:r>
        <w:t>L’analisi svolta da Tecnostruttura, di seguito illustrata, che non si è concentrata solo sulle priorità dedicate (scelta da due Regioni) ma sull’intero contenuto di tutti i programmi, conferma le linee tendenziali presentate a livello europeo.</w:t>
      </w:r>
    </w:p>
    <w:p w14:paraId="79161BB2" w14:textId="77777777" w:rsidR="0057704A" w:rsidRDefault="0057704A">
      <w:pPr>
        <w:pStyle w:val="Standard"/>
        <w:spacing w:after="0" w:line="240" w:lineRule="auto"/>
        <w:jc w:val="both"/>
      </w:pPr>
    </w:p>
    <w:p w14:paraId="79161BB3" w14:textId="77777777" w:rsidR="0057704A" w:rsidRDefault="004A66A7">
      <w:pPr>
        <w:pStyle w:val="Titolo3"/>
        <w:spacing w:before="0" w:line="240" w:lineRule="auto"/>
      </w:pPr>
      <w:bookmarkStart w:id="6" w:name="_Hlk130469780"/>
      <w:bookmarkStart w:id="7" w:name="_Toc133396406"/>
      <w:bookmarkStart w:id="8" w:name="__RefHeading__7792_183342921"/>
      <w:r>
        <w:rPr>
          <w:b/>
          <w:bCs/>
          <w:i/>
          <w:iCs/>
          <w:color w:val="2F5496"/>
        </w:rPr>
        <w:t xml:space="preserve">I </w:t>
      </w:r>
      <w:bookmarkEnd w:id="6"/>
      <w:r>
        <w:rPr>
          <w:b/>
          <w:bCs/>
          <w:i/>
          <w:iCs/>
          <w:color w:val="2F5496"/>
        </w:rPr>
        <w:t>programmi regionali</w:t>
      </w:r>
      <w:bookmarkEnd w:id="7"/>
      <w:bookmarkEnd w:id="8"/>
    </w:p>
    <w:p w14:paraId="79161BB4" w14:textId="77777777" w:rsidR="0057704A" w:rsidRDefault="004A66A7">
      <w:pPr>
        <w:pStyle w:val="Standard"/>
        <w:spacing w:after="0" w:line="240" w:lineRule="auto"/>
        <w:jc w:val="both"/>
      </w:pPr>
      <w:r>
        <w:t xml:space="preserve"> La restituzione dell'insieme di interventi di innovazione e sperimentazione sociale previsti nei PR FSE+ 2021-2027, rappresentata nelle pagine seguenti, è articolata</w:t>
      </w:r>
      <w:r>
        <w:rPr>
          <w:lang w:eastAsia="it-IT"/>
        </w:rPr>
        <w:t xml:space="preserve"> per </w:t>
      </w:r>
      <w:r>
        <w:rPr>
          <w:u w:val="single"/>
          <w:lang w:eastAsia="it-IT"/>
        </w:rPr>
        <w:t xml:space="preserve">priorità (e obiettivi specifici), nell'ambito delle quali le azioni sono state raggruppate individuando delle linee tematiche comuni, </w:t>
      </w:r>
      <w:r>
        <w:rPr>
          <w:lang w:eastAsia="it-IT"/>
        </w:rPr>
        <w:t xml:space="preserve">in continuità con quanto </w:t>
      </w:r>
      <w:r>
        <w:rPr>
          <w:lang w:eastAsia="it-IT"/>
        </w:rPr>
        <w:lastRenderedPageBreak/>
        <w:t xml:space="preserve">fatto già nella programmazione 2014-2020.  </w:t>
      </w:r>
      <w:r>
        <w:t>Per l’individuazione delle azioni riportate sono stati utilizzati due criteri:</w:t>
      </w:r>
    </w:p>
    <w:p w14:paraId="79161BB5" w14:textId="77777777" w:rsidR="0057704A" w:rsidRDefault="004A66A7">
      <w:pPr>
        <w:pStyle w:val="Paragrafoelenco"/>
        <w:numPr>
          <w:ilvl w:val="0"/>
          <w:numId w:val="49"/>
        </w:numPr>
        <w:spacing w:after="0" w:line="240" w:lineRule="auto"/>
        <w:jc w:val="both"/>
      </w:pPr>
      <w:r>
        <w:rPr>
          <w:rFonts w:eastAsia="Times New Roman"/>
        </w:rPr>
        <w:t xml:space="preserve">in primo luogo, si è operato sulla base di un </w:t>
      </w:r>
      <w:r>
        <w:rPr>
          <w:rFonts w:eastAsia="Times New Roman"/>
          <w:u w:val="single"/>
        </w:rPr>
        <w:t>criterio oggettivo</w:t>
      </w:r>
      <w:r>
        <w:rPr>
          <w:rFonts w:eastAsia="Times New Roman"/>
        </w:rPr>
        <w:t>, selezionando le azioni definite dalle stesse Regioni/PA come “innovative” in ambito sociale, attraverso una puntuale ricognizione di quanto previsto nei PR FSE+;</w:t>
      </w:r>
    </w:p>
    <w:p w14:paraId="79161BB6" w14:textId="77777777" w:rsidR="0057704A" w:rsidRDefault="004A66A7">
      <w:pPr>
        <w:pStyle w:val="Paragrafoelenco"/>
        <w:numPr>
          <w:ilvl w:val="0"/>
          <w:numId w:val="19"/>
        </w:numPr>
        <w:spacing w:after="0" w:line="240" w:lineRule="auto"/>
        <w:jc w:val="both"/>
      </w:pPr>
      <w:r>
        <w:rPr>
          <w:rFonts w:eastAsia="Times New Roman"/>
        </w:rPr>
        <w:t>in secondo luogo, si è utilizzato un “criterio estensivo”, selezionando per ciascuna Regione/PA ulteriori interventi che - per assimilazione con quelle definite come innovative da altre AdG o per continuità con i criteri utilizzati nella precedente programmazione - possono rientrare nella classificazione di azioni innovative: tale criterio è apparso utile anche per ragioni di uniformità di analisi.</w:t>
      </w:r>
    </w:p>
    <w:p w14:paraId="79161BB7" w14:textId="77777777" w:rsidR="0057704A" w:rsidRDefault="0057704A">
      <w:pPr>
        <w:pStyle w:val="Standard"/>
        <w:spacing w:after="0" w:line="240" w:lineRule="auto"/>
        <w:jc w:val="both"/>
        <w:rPr>
          <w:rFonts w:eastAsia="Times New Roman"/>
          <w:sz w:val="10"/>
          <w:szCs w:val="10"/>
        </w:rPr>
      </w:pPr>
    </w:p>
    <w:p w14:paraId="79161BB8" w14:textId="4EB9F4B1" w:rsidR="0057704A" w:rsidRDefault="004A66A7">
      <w:pPr>
        <w:pStyle w:val="Standard"/>
        <w:spacing w:after="0" w:line="240" w:lineRule="auto"/>
        <w:jc w:val="both"/>
      </w:pPr>
      <w:r>
        <w:rPr>
          <w:rFonts w:eastAsia="Times New Roman"/>
        </w:rPr>
        <w:t>Si evidenzia che, ancorché non riportate, alle azioni oggetto di ricognizione si aggiungono per diversi PR gli interventi ALMA che la Commissione Europea stessa riconduce all’ambito dell’innovazione sociale, avendone suggerito, in una fase avanzata del negoziato, la possibilità di inserimento anche nella Priorità dedicata Azioni Sociali Innovative.</w:t>
      </w:r>
      <w:r>
        <w:rPr>
          <w:rStyle w:val="Rimandonotaapidipagina"/>
        </w:rPr>
        <w:footnoteReference w:id="4"/>
      </w:r>
    </w:p>
    <w:p w14:paraId="79161BB9" w14:textId="77777777" w:rsidR="0057704A" w:rsidRDefault="0057704A">
      <w:pPr>
        <w:pStyle w:val="Standard"/>
        <w:spacing w:after="0" w:line="240" w:lineRule="auto"/>
        <w:jc w:val="both"/>
        <w:rPr>
          <w:color w:val="FF0000"/>
          <w:lang w:eastAsia="it-IT"/>
        </w:rPr>
      </w:pPr>
    </w:p>
    <w:p w14:paraId="79161BBA" w14:textId="77777777" w:rsidR="0057704A" w:rsidRDefault="004A66A7">
      <w:pPr>
        <w:pStyle w:val="Standard"/>
        <w:pBdr>
          <w:top w:val="single" w:sz="4" w:space="1" w:color="00000A"/>
          <w:left w:val="single" w:sz="4" w:space="4" w:color="00000A"/>
          <w:bottom w:val="single" w:sz="4" w:space="1" w:color="00000A"/>
          <w:right w:val="single" w:sz="4" w:space="4" w:color="00000A"/>
        </w:pBdr>
        <w:spacing w:after="0" w:line="240" w:lineRule="auto"/>
        <w:jc w:val="both"/>
      </w:pPr>
      <w:r>
        <w:rPr>
          <w:lang w:eastAsia="it-IT"/>
        </w:rPr>
        <w:t xml:space="preserve">La ricognizione completa delle tipologie di interventi considerati ai fini del presente documento è contenuta nel </w:t>
      </w:r>
      <w:r>
        <w:rPr>
          <w:i/>
          <w:iCs/>
          <w:lang w:eastAsia="it-IT"/>
        </w:rPr>
        <w:t xml:space="preserve">file </w:t>
      </w:r>
      <w:proofErr w:type="spellStart"/>
      <w:r>
        <w:rPr>
          <w:i/>
          <w:iCs/>
          <w:lang w:eastAsia="it-IT"/>
        </w:rPr>
        <w:t>excel</w:t>
      </w:r>
      <w:proofErr w:type="spellEnd"/>
      <w:r>
        <w:rPr>
          <w:lang w:eastAsia="it-IT"/>
        </w:rPr>
        <w:t xml:space="preserve">, che viene riportato in </w:t>
      </w:r>
      <w:r>
        <w:rPr>
          <w:b/>
          <w:bCs/>
          <w:lang w:eastAsia="it-IT"/>
        </w:rPr>
        <w:t xml:space="preserve">allegato </w:t>
      </w:r>
      <w:r>
        <w:rPr>
          <w:lang w:eastAsia="it-IT"/>
        </w:rPr>
        <w:t>al fine non solo di consentire alle Regioni/PA di disporre di una visione complessiva di quanto contenuto in ciascun PR, ma anche di verificare se il lavoro di classificazione operato da Tecnostruttura, anche per uniformare le iniziative censite, trovi una effettiva corrispondenza e, nel caso, segnalare gli opportuni aggiustamenti.</w:t>
      </w:r>
    </w:p>
    <w:p w14:paraId="79161BBB" w14:textId="77777777" w:rsidR="0057704A" w:rsidRDefault="004A66A7">
      <w:pPr>
        <w:pStyle w:val="Standard"/>
        <w:pBdr>
          <w:top w:val="single" w:sz="4" w:space="1" w:color="00000A"/>
          <w:left w:val="single" w:sz="4" w:space="4" w:color="00000A"/>
          <w:bottom w:val="single" w:sz="4" w:space="1" w:color="00000A"/>
          <w:right w:val="single" w:sz="4" w:space="4" w:color="00000A"/>
        </w:pBdr>
        <w:spacing w:after="0" w:line="240" w:lineRule="auto"/>
        <w:jc w:val="both"/>
      </w:pPr>
      <w:r>
        <w:rPr>
          <w:lang w:eastAsia="it-IT"/>
        </w:rPr>
        <w:t xml:space="preserve">Per rendere più agevole la lettura, </w:t>
      </w:r>
      <w:r>
        <w:rPr>
          <w:u w:val="single"/>
          <w:lang w:eastAsia="it-IT"/>
        </w:rPr>
        <w:t>le tipologie di azioni sono state aggregate in filoni tematici</w:t>
      </w:r>
      <w:r>
        <w:rPr>
          <w:lang w:eastAsia="it-IT"/>
        </w:rPr>
        <w:t xml:space="preserve"> individuati a partire da quelli già utilizzati nella passata programmazione e opportunamente aggiornati.</w:t>
      </w:r>
    </w:p>
    <w:p w14:paraId="79161BBC" w14:textId="77777777" w:rsidR="0057704A" w:rsidRDefault="004A66A7">
      <w:pPr>
        <w:pStyle w:val="Standard"/>
        <w:pBdr>
          <w:top w:val="single" w:sz="4" w:space="1" w:color="00000A"/>
          <w:left w:val="single" w:sz="4" w:space="4" w:color="00000A"/>
          <w:bottom w:val="single" w:sz="4" w:space="1" w:color="00000A"/>
          <w:right w:val="single" w:sz="4" w:space="4" w:color="00000A"/>
        </w:pBdr>
        <w:spacing w:after="0" w:line="240" w:lineRule="auto"/>
        <w:jc w:val="both"/>
      </w:pPr>
      <w:r>
        <w:rPr>
          <w:lang w:eastAsia="it-IT"/>
        </w:rPr>
        <w:t>Si potrà comunque v</w:t>
      </w:r>
      <w:r>
        <w:rPr>
          <w:u w:val="single"/>
          <w:lang w:eastAsia="it-IT"/>
        </w:rPr>
        <w:t xml:space="preserve">alutare in futuro di aggregare e classificare gli interventi sulla base dei criteri utilizzati dalla piattaforma europea </w:t>
      </w:r>
      <w:r>
        <w:rPr>
          <w:i/>
          <w:iCs/>
          <w:u w:val="single"/>
          <w:lang w:eastAsia="it-IT"/>
        </w:rPr>
        <w:t>SIM</w:t>
      </w:r>
      <w:r>
        <w:rPr>
          <w:lang w:eastAsia="it-IT"/>
        </w:rPr>
        <w:t xml:space="preserve"> (cfr. infra), in particolare tenendo presente il criterio Tipologie di iniziative o Focus tematici.</w:t>
      </w:r>
    </w:p>
    <w:p w14:paraId="79161BBD" w14:textId="77777777" w:rsidR="0057704A" w:rsidRDefault="0057704A">
      <w:pPr>
        <w:pStyle w:val="Standard"/>
        <w:spacing w:after="0" w:line="240" w:lineRule="auto"/>
        <w:jc w:val="both"/>
        <w:rPr>
          <w:lang w:eastAsia="it-IT"/>
        </w:rPr>
      </w:pPr>
    </w:p>
    <w:p w14:paraId="79161BBE" w14:textId="77777777" w:rsidR="0057704A" w:rsidRDefault="004A66A7">
      <w:pPr>
        <w:pStyle w:val="Standard"/>
        <w:spacing w:after="0" w:line="240" w:lineRule="auto"/>
        <w:jc w:val="both"/>
      </w:pPr>
      <w:r>
        <w:rPr>
          <w:lang w:eastAsia="it-IT"/>
        </w:rPr>
        <w:t xml:space="preserve">Nell’intento di restituire una prima lettura di sintesi, si evidenzia che </w:t>
      </w:r>
      <w:r>
        <w:rPr>
          <w:b/>
          <w:bCs/>
          <w:lang w:eastAsia="it-IT"/>
        </w:rPr>
        <w:t>l’approccio all’innovazione sociale è di carattere trasversale</w:t>
      </w:r>
      <w:r>
        <w:rPr>
          <w:lang w:eastAsia="it-IT"/>
        </w:rPr>
        <w:t xml:space="preserve">, sia nelle modalità di programmazione sia per gli ambiti tematici di riferimento, a prescindere dalla presenza di priorità dedicata. </w:t>
      </w:r>
    </w:p>
    <w:p w14:paraId="79161BBF" w14:textId="0375C17A" w:rsidR="0057704A" w:rsidRDefault="009B10E0">
      <w:pPr>
        <w:pStyle w:val="Standard"/>
        <w:spacing w:after="0" w:line="240" w:lineRule="auto"/>
        <w:jc w:val="both"/>
      </w:pPr>
      <w:r>
        <w:rPr>
          <w:lang w:eastAsia="it-IT"/>
        </w:rPr>
        <w:t xml:space="preserve">Infatti, </w:t>
      </w:r>
      <w:r w:rsidRPr="00A34E62">
        <w:rPr>
          <w:b/>
          <w:bCs/>
          <w:lang w:eastAsia="it-IT"/>
        </w:rPr>
        <w:t>tutti</w:t>
      </w:r>
      <w:r w:rsidR="004A66A7">
        <w:rPr>
          <w:b/>
          <w:bCs/>
          <w:lang w:eastAsia="it-IT"/>
        </w:rPr>
        <w:t xml:space="preserve"> i PR prevedono di attivare interventi di innovazione sociale nelle diverse Priorità, </w:t>
      </w:r>
      <w:r w:rsidR="004A66A7">
        <w:rPr>
          <w:lang w:eastAsia="it-IT"/>
        </w:rPr>
        <w:t>dando continuità a esperienze virtuose già attuate</w:t>
      </w:r>
      <w:r w:rsidR="004A66A7">
        <w:rPr>
          <w:b/>
          <w:bCs/>
          <w:lang w:eastAsia="it-IT"/>
        </w:rPr>
        <w:t xml:space="preserve"> </w:t>
      </w:r>
      <w:r w:rsidR="004A66A7">
        <w:rPr>
          <w:lang w:eastAsia="it-IT"/>
        </w:rPr>
        <w:t>nella precedente programmazione o incentivando la creazione e la realizzazione di nuovi prodotti, servizi e modelli per fornire risposte concrete a nuovi fabbisogni sociali in un’ottica sperimentale.</w:t>
      </w:r>
    </w:p>
    <w:p w14:paraId="79161BC0" w14:textId="77777777" w:rsidR="0057704A" w:rsidRDefault="004A66A7">
      <w:pPr>
        <w:pStyle w:val="Standard"/>
        <w:spacing w:after="0" w:line="240" w:lineRule="auto"/>
        <w:jc w:val="both"/>
      </w:pPr>
      <w:r>
        <w:rPr>
          <w:lang w:eastAsia="it-IT"/>
        </w:rPr>
        <w:t xml:space="preserve">Da un punto di vista della struttura programmatica, gli interventi di innovazione trovano collocazione, in continuità con il periodo 14-20, </w:t>
      </w:r>
      <w:r>
        <w:rPr>
          <w:b/>
          <w:bCs/>
          <w:lang w:eastAsia="it-IT"/>
        </w:rPr>
        <w:t>principalmente</w:t>
      </w:r>
      <w:r>
        <w:rPr>
          <w:lang w:eastAsia="it-IT"/>
        </w:rPr>
        <w:t xml:space="preserve"> nella </w:t>
      </w:r>
      <w:r>
        <w:rPr>
          <w:b/>
          <w:bCs/>
          <w:u w:val="single"/>
          <w:lang w:eastAsia="it-IT"/>
        </w:rPr>
        <w:t>Priorità Inclusione Sociale</w:t>
      </w:r>
      <w:r>
        <w:rPr>
          <w:b/>
          <w:bCs/>
          <w:lang w:eastAsia="it-IT"/>
        </w:rPr>
        <w:t xml:space="preserve"> </w:t>
      </w:r>
      <w:r>
        <w:rPr>
          <w:lang w:eastAsia="it-IT"/>
        </w:rPr>
        <w:t>con l’obiettivo di implementare, ampliare e innovare i servizi sociali</w:t>
      </w:r>
      <w:r>
        <w:rPr>
          <w:b/>
          <w:bCs/>
          <w:lang w:eastAsia="it-IT"/>
        </w:rPr>
        <w:t>, in particolare nell’OS K</w:t>
      </w:r>
      <w:r>
        <w:rPr>
          <w:lang w:eastAsia="it-IT"/>
        </w:rPr>
        <w:t xml:space="preserve">-14 Regioni/PA </w:t>
      </w:r>
      <w:r>
        <w:rPr>
          <w:b/>
          <w:bCs/>
          <w:lang w:eastAsia="it-IT"/>
        </w:rPr>
        <w:t>e nell’OS H-</w:t>
      </w:r>
      <w:r>
        <w:rPr>
          <w:lang w:eastAsia="it-IT"/>
        </w:rPr>
        <w:t xml:space="preserve">10 Regioni/PA) (in via residuale </w:t>
      </w:r>
      <w:r>
        <w:rPr>
          <w:b/>
          <w:bCs/>
          <w:lang w:eastAsia="it-IT"/>
        </w:rPr>
        <w:t>nell’OS L-</w:t>
      </w:r>
      <w:r>
        <w:rPr>
          <w:lang w:eastAsia="it-IT"/>
        </w:rPr>
        <w:t>2 Regioni):</w:t>
      </w:r>
    </w:p>
    <w:p w14:paraId="79161BC1" w14:textId="77777777" w:rsidR="0057704A" w:rsidRDefault="004A66A7">
      <w:pPr>
        <w:pStyle w:val="Standard"/>
        <w:spacing w:after="0" w:line="240" w:lineRule="auto"/>
        <w:jc w:val="both"/>
      </w:pPr>
      <w:r>
        <w:rPr>
          <w:lang w:eastAsia="it-IT"/>
        </w:rPr>
        <w:t xml:space="preserve">Anche </w:t>
      </w:r>
      <w:r>
        <w:rPr>
          <w:b/>
          <w:bCs/>
          <w:u w:val="single"/>
          <w:lang w:eastAsia="it-IT"/>
        </w:rPr>
        <w:t>nella Priorità Occupazione</w:t>
      </w:r>
      <w:r>
        <w:rPr>
          <w:lang w:eastAsia="it-IT"/>
        </w:rPr>
        <w:t xml:space="preserve"> sono stati previsti numerosi interventi di innovazione sociale (OS a, b, c), prioritariamente sostenendo </w:t>
      </w:r>
      <w:r>
        <w:rPr>
          <w:b/>
          <w:bCs/>
          <w:lang w:eastAsia="it-IT"/>
        </w:rPr>
        <w:t xml:space="preserve">modelli innovativi </w:t>
      </w:r>
      <w:r>
        <w:rPr>
          <w:lang w:eastAsia="it-IT"/>
        </w:rPr>
        <w:t xml:space="preserve">di servizi a sostegno della </w:t>
      </w:r>
      <w:r>
        <w:rPr>
          <w:b/>
          <w:bCs/>
          <w:lang w:eastAsia="it-IT"/>
        </w:rPr>
        <w:t xml:space="preserve">conciliazione vita-lavoro; </w:t>
      </w:r>
      <w:r>
        <w:rPr>
          <w:lang w:eastAsia="it-IT"/>
        </w:rPr>
        <w:t xml:space="preserve">la </w:t>
      </w:r>
      <w:r>
        <w:rPr>
          <w:b/>
          <w:bCs/>
          <w:u w:val="single"/>
          <w:lang w:eastAsia="it-IT"/>
        </w:rPr>
        <w:t>Priorità Istruzione e Formazione</w:t>
      </w:r>
      <w:r>
        <w:rPr>
          <w:b/>
          <w:bCs/>
          <w:lang w:eastAsia="it-IT"/>
        </w:rPr>
        <w:t xml:space="preserve"> </w:t>
      </w:r>
      <w:r>
        <w:rPr>
          <w:lang w:eastAsia="it-IT"/>
        </w:rPr>
        <w:t xml:space="preserve">(OS e, f, g) include interventi di innovazione sociale soprattutto con riferimento ai </w:t>
      </w:r>
      <w:r>
        <w:rPr>
          <w:b/>
          <w:bCs/>
          <w:lang w:eastAsia="it-IT"/>
        </w:rPr>
        <w:t>modelli di apprendimento sperimentale e innovativi</w:t>
      </w:r>
      <w:r>
        <w:rPr>
          <w:lang w:eastAsia="it-IT"/>
        </w:rPr>
        <w:t xml:space="preserve"> e alla costruzione di </w:t>
      </w:r>
      <w:r>
        <w:rPr>
          <w:b/>
          <w:bCs/>
          <w:lang w:eastAsia="it-IT"/>
        </w:rPr>
        <w:t>reti</w:t>
      </w:r>
      <w:r>
        <w:rPr>
          <w:lang w:eastAsia="it-IT"/>
        </w:rPr>
        <w:t>.</w:t>
      </w:r>
    </w:p>
    <w:p w14:paraId="79161BC2" w14:textId="77777777" w:rsidR="0057704A" w:rsidRDefault="004A66A7">
      <w:pPr>
        <w:pStyle w:val="Standard"/>
        <w:spacing w:after="0" w:line="240" w:lineRule="auto"/>
        <w:jc w:val="both"/>
      </w:pPr>
      <w:r>
        <w:rPr>
          <w:lang w:eastAsia="it-IT"/>
        </w:rPr>
        <w:t xml:space="preserve">Sono due le Regioni che hanno scelto di individuare la </w:t>
      </w:r>
      <w:r>
        <w:rPr>
          <w:b/>
          <w:bCs/>
          <w:u w:val="single"/>
          <w:lang w:eastAsia="it-IT"/>
        </w:rPr>
        <w:t>priorità dedicata alle Azioni sociali innovative (ASI)</w:t>
      </w:r>
      <w:r>
        <w:rPr>
          <w:b/>
          <w:bCs/>
          <w:lang w:eastAsia="it-IT"/>
        </w:rPr>
        <w:t xml:space="preserve"> </w:t>
      </w:r>
      <w:r>
        <w:rPr>
          <w:lang w:eastAsia="it-IT"/>
        </w:rPr>
        <w:t>prevedendo differenti tipologie di intervento nell’ambito degli OS (a, h, k): dai modelli sinergici di inclusione sociale e/o lavorativa e i servizi di welfare, ai modelli di apprendimento innovativi, fino alle reti e alle collaborazioni pubblico-private.</w:t>
      </w:r>
    </w:p>
    <w:p w14:paraId="79161BC3" w14:textId="6AA42114" w:rsidR="0057704A" w:rsidRDefault="004A66A7">
      <w:pPr>
        <w:pStyle w:val="Standard"/>
        <w:spacing w:after="0" w:line="240" w:lineRule="auto"/>
        <w:jc w:val="both"/>
      </w:pPr>
      <w:bookmarkStart w:id="9" w:name="_Hlk134104033"/>
      <w:r>
        <w:rPr>
          <w:lang w:eastAsia="it-IT"/>
        </w:rPr>
        <w:t xml:space="preserve">Un ulteriore elemento da sottolineare è che molti interventi di innovazione sociale - in particolare quelli volti al miglioramento dell’accessibilità e della qualità dei servizi sociosanitari e di cura - sono stati previsti nell’ambito delle </w:t>
      </w:r>
      <w:r>
        <w:rPr>
          <w:b/>
          <w:bCs/>
          <w:lang w:eastAsia="it-IT"/>
        </w:rPr>
        <w:t>strategie territoriali</w:t>
      </w:r>
      <w:r>
        <w:rPr>
          <w:lang w:eastAsia="it-IT"/>
        </w:rPr>
        <w:t xml:space="preserve">, facendo prevalentemente ricorso allo strumento dell’ITI che, nella priorità “Azioni sociali innovative”, è presente in tutti gli OS. Per i PR che non hanno la priorità dedicata, la </w:t>
      </w:r>
      <w:r>
        <w:rPr>
          <w:lang w:eastAsia="it-IT"/>
        </w:rPr>
        <w:lastRenderedPageBreak/>
        <w:t>connessione tra innovazione sociale e strategie territoriali non è direttamente analizzabile; tuttavia dalla lettura delle descrizioni delle priorità (anche nella sezione della strategia), così come dai contenuti dei paragrafi dei singoli obiettivi specifici, si evince che l’attuazione delle strategie territoriali, sia urbane sia rivolte a zone interne, montane, rurali prevede in molti casi l’implementazione di interventi di innovazione sociale, in particolare per rafforzare l’accesso ai servizi.</w:t>
      </w:r>
    </w:p>
    <w:p w14:paraId="79161BC4" w14:textId="77777777" w:rsidR="0057704A" w:rsidRDefault="004A66A7">
      <w:pPr>
        <w:pStyle w:val="Standard"/>
        <w:spacing w:after="0"/>
        <w:jc w:val="both"/>
      </w:pPr>
      <w:r>
        <w:rPr>
          <w:shd w:val="clear" w:color="auto" w:fill="FF00FF"/>
        </w:rPr>
        <w:t xml:space="preserve"> </w:t>
      </w:r>
    </w:p>
    <w:bookmarkEnd w:id="9"/>
    <w:p w14:paraId="79161BC5" w14:textId="77777777" w:rsidR="0057704A" w:rsidRPr="00A800AB" w:rsidRDefault="004A66A7">
      <w:pPr>
        <w:pStyle w:val="Titolo4"/>
        <w:shd w:val="clear" w:color="auto" w:fill="92D050"/>
        <w:spacing w:before="0" w:line="240" w:lineRule="auto"/>
        <w:rPr>
          <w:color w:val="002060"/>
        </w:rPr>
      </w:pPr>
      <w:r w:rsidRPr="00A800AB">
        <w:rPr>
          <w:b/>
          <w:bCs/>
          <w:color w:val="002060"/>
          <w:sz w:val="24"/>
          <w:szCs w:val="24"/>
          <w:lang w:eastAsia="it-IT"/>
        </w:rPr>
        <w:t>Priorità Occupazione</w:t>
      </w:r>
    </w:p>
    <w:p w14:paraId="79161BC6" w14:textId="77777777" w:rsidR="0057704A" w:rsidRDefault="004A66A7">
      <w:pPr>
        <w:pStyle w:val="Standard"/>
        <w:spacing w:after="0" w:line="240" w:lineRule="auto"/>
        <w:jc w:val="both"/>
      </w:pPr>
      <w:r>
        <w:rPr>
          <w:lang w:eastAsia="it-IT"/>
        </w:rPr>
        <w:t xml:space="preserve">La maggior parte degli interventi di questa Priorità rientra nell’ambito dei </w:t>
      </w:r>
      <w:bookmarkStart w:id="10" w:name="_Hlk129174180"/>
      <w:r>
        <w:rPr>
          <w:rFonts w:cs="Calibri"/>
          <w:b/>
          <w:i/>
          <w:iCs/>
          <w:color w:val="0070C0"/>
        </w:rPr>
        <w:t>Modelli innovativi di Servizi di cura e di organizzazione del lavoro a sostegno della conciliazione</w:t>
      </w:r>
      <w:r>
        <w:rPr>
          <w:color w:val="0070C0"/>
          <w:lang w:eastAsia="it-IT"/>
        </w:rPr>
        <w:t>,</w:t>
      </w:r>
      <w:r>
        <w:rPr>
          <w:lang w:eastAsia="it-IT"/>
        </w:rPr>
        <w:t xml:space="preserve"> con una collocazione prevalente nell’OS c (solo in un caso è stato selezionato l’OS b</w:t>
      </w:r>
      <w:bookmarkEnd w:id="10"/>
      <w:r>
        <w:rPr>
          <w:lang w:eastAsia="it-IT"/>
        </w:rPr>
        <w:t>). Tra le azioni previste, ad esempio</w:t>
      </w:r>
      <w:r>
        <w:rPr>
          <w:rFonts w:cs="Calibri"/>
          <w:bCs/>
        </w:rPr>
        <w:t>:</w:t>
      </w:r>
    </w:p>
    <w:p w14:paraId="79161BC7" w14:textId="77777777" w:rsidR="0057704A" w:rsidRDefault="004A66A7">
      <w:pPr>
        <w:pStyle w:val="Paragrafoelenco"/>
        <w:numPr>
          <w:ilvl w:val="0"/>
          <w:numId w:val="50"/>
        </w:numPr>
        <w:spacing w:after="0" w:line="240" w:lineRule="auto"/>
        <w:jc w:val="both"/>
      </w:pPr>
      <w:r>
        <w:rPr>
          <w:rFonts w:cs="Calibri"/>
          <w:bCs/>
        </w:rPr>
        <w:t xml:space="preserve">Interventi di </w:t>
      </w:r>
      <w:r>
        <w:rPr>
          <w:rFonts w:cs="Calibri"/>
          <w:b/>
        </w:rPr>
        <w:t>sostegno a spazi e servizi per il coworking/smart working</w:t>
      </w:r>
      <w:r>
        <w:rPr>
          <w:rFonts w:cs="Calibri"/>
          <w:bCs/>
        </w:rPr>
        <w:t>, valorizzando spazi dismessi;</w:t>
      </w:r>
    </w:p>
    <w:p w14:paraId="79161BC8" w14:textId="77777777" w:rsidR="0057704A" w:rsidRDefault="004A66A7">
      <w:pPr>
        <w:pStyle w:val="Paragrafoelenco"/>
        <w:numPr>
          <w:ilvl w:val="0"/>
          <w:numId w:val="11"/>
        </w:numPr>
        <w:spacing w:after="0" w:line="240" w:lineRule="auto"/>
        <w:jc w:val="both"/>
      </w:pPr>
      <w:r>
        <w:rPr>
          <w:rFonts w:cs="Calibri"/>
          <w:bCs/>
        </w:rPr>
        <w:t xml:space="preserve">processi di </w:t>
      </w:r>
      <w:r>
        <w:rPr>
          <w:rFonts w:cs="Calibri"/>
          <w:b/>
        </w:rPr>
        <w:t>innovazione nell’organizzazione del lavoro/modalità organizzative</w:t>
      </w:r>
      <w:r>
        <w:rPr>
          <w:rFonts w:cs="Calibri"/>
          <w:bCs/>
        </w:rPr>
        <w:t xml:space="preserve"> innovative family friendly e implementazione di soluzioni sperimentali all’interno delle imprese, anche rafforzando l’utilizzo degli istituti di flessibilità esistenti (es. banche del tempo, personalizzazione dei tempi di entrata e uscita, ricorso a forme di lavoro agile, servizi aziendali);</w:t>
      </w:r>
    </w:p>
    <w:p w14:paraId="79161BC9" w14:textId="77777777" w:rsidR="0057704A" w:rsidRDefault="004A66A7">
      <w:pPr>
        <w:pStyle w:val="Paragrafoelenco"/>
        <w:numPr>
          <w:ilvl w:val="0"/>
          <w:numId w:val="11"/>
        </w:numPr>
        <w:spacing w:after="0" w:line="240" w:lineRule="auto"/>
        <w:jc w:val="both"/>
      </w:pPr>
      <w:r>
        <w:rPr>
          <w:rFonts w:cs="Calibri"/>
          <w:b/>
        </w:rPr>
        <w:t>interventi di welfare innovativo</w:t>
      </w:r>
      <w:r>
        <w:rPr>
          <w:rFonts w:cs="Calibri"/>
          <w:bCs/>
        </w:rPr>
        <w:t xml:space="preserve"> (aziendale, contrattuale e territoriale) sia nel settore pubblico che privato;</w:t>
      </w:r>
    </w:p>
    <w:p w14:paraId="79161BCA" w14:textId="77777777" w:rsidR="0057704A" w:rsidRDefault="004A66A7">
      <w:pPr>
        <w:pStyle w:val="Paragrafoelenco"/>
        <w:numPr>
          <w:ilvl w:val="0"/>
          <w:numId w:val="11"/>
        </w:numPr>
        <w:spacing w:after="0" w:line="240" w:lineRule="auto"/>
        <w:jc w:val="both"/>
      </w:pPr>
      <w:r>
        <w:rPr>
          <w:rFonts w:cs="Calibri"/>
          <w:b/>
        </w:rPr>
        <w:t>progetti sperimentali a carattere territoriale/aziendale</w:t>
      </w:r>
      <w:r>
        <w:rPr>
          <w:rFonts w:cs="Calibri"/>
          <w:bCs/>
        </w:rPr>
        <w:t xml:space="preserve"> per lo sviluppo di nuovi servizi per l’infanzia e/o per le persone non autosufficienti.</w:t>
      </w:r>
    </w:p>
    <w:p w14:paraId="79161BCB" w14:textId="77777777" w:rsidR="0057704A" w:rsidRDefault="0057704A">
      <w:pPr>
        <w:pStyle w:val="Paragrafoelenco"/>
        <w:spacing w:after="0" w:line="240" w:lineRule="auto"/>
        <w:jc w:val="both"/>
        <w:rPr>
          <w:rFonts w:cs="Calibri"/>
          <w:bCs/>
        </w:rPr>
      </w:pPr>
    </w:p>
    <w:p w14:paraId="79161BCC" w14:textId="77777777" w:rsidR="0057704A" w:rsidRDefault="004A66A7">
      <w:pPr>
        <w:pStyle w:val="Standard"/>
        <w:spacing w:after="0" w:line="240" w:lineRule="auto"/>
        <w:jc w:val="both"/>
      </w:pPr>
      <w:r>
        <w:rPr>
          <w:rFonts w:cs="Calibri"/>
          <w:bCs/>
        </w:rPr>
        <w:t xml:space="preserve">Molte Regioni hanno altresì previsto interventi di </w:t>
      </w:r>
      <w:bookmarkStart w:id="11" w:name="_Hlk129174196"/>
      <w:r>
        <w:rPr>
          <w:rFonts w:cs="Calibri"/>
          <w:b/>
          <w:i/>
          <w:iCs/>
          <w:color w:val="0070C0"/>
        </w:rPr>
        <w:t>Formazione, incentivi e sviluppo di competenze per l’innovazione</w:t>
      </w:r>
      <w:r>
        <w:rPr>
          <w:rFonts w:cs="Calibri"/>
          <w:bCs/>
        </w:rPr>
        <w:t xml:space="preserve"> </w:t>
      </w:r>
      <w:bookmarkEnd w:id="11"/>
      <w:r>
        <w:rPr>
          <w:rFonts w:cs="Calibri"/>
          <w:bCs/>
        </w:rPr>
        <w:t>(collocati in OS a e b) mediante:</w:t>
      </w:r>
    </w:p>
    <w:p w14:paraId="79161BCD" w14:textId="77777777" w:rsidR="0057704A" w:rsidRDefault="004A66A7">
      <w:pPr>
        <w:pStyle w:val="Paragrafoelenco"/>
        <w:numPr>
          <w:ilvl w:val="0"/>
          <w:numId w:val="11"/>
        </w:numPr>
        <w:spacing w:after="0" w:line="240" w:lineRule="auto"/>
        <w:jc w:val="both"/>
      </w:pPr>
      <w:r>
        <w:rPr>
          <w:rFonts w:cs="Calibri"/>
          <w:bCs/>
        </w:rPr>
        <w:t xml:space="preserve">misure per l’allineamento, l’integrazione e il rafforzamento delle </w:t>
      </w:r>
      <w:r>
        <w:rPr>
          <w:rFonts w:cs="Calibri"/>
          <w:b/>
        </w:rPr>
        <w:t>competenze degli operatori</w:t>
      </w:r>
      <w:r>
        <w:rPr>
          <w:rFonts w:cs="Calibri"/>
          <w:bCs/>
        </w:rPr>
        <w:t xml:space="preserve"> dei Servizi per il lavoro e dei Centri di Orientamento su metodologie innovative, ivi compreso l’uso delle tecnologie digitali;</w:t>
      </w:r>
    </w:p>
    <w:p w14:paraId="79161BCE" w14:textId="77777777" w:rsidR="0057704A" w:rsidRDefault="004A66A7">
      <w:pPr>
        <w:pStyle w:val="Paragrafoelenco"/>
        <w:numPr>
          <w:ilvl w:val="0"/>
          <w:numId w:val="11"/>
        </w:numPr>
        <w:spacing w:after="0" w:line="240" w:lineRule="auto"/>
        <w:jc w:val="both"/>
      </w:pPr>
      <w:r>
        <w:rPr>
          <w:rFonts w:cs="Calibri"/>
          <w:bCs/>
        </w:rPr>
        <w:t xml:space="preserve">incentivi per il rientro dei “cervelli” per sviluppare </w:t>
      </w:r>
      <w:r>
        <w:rPr>
          <w:rFonts w:cs="Calibri"/>
          <w:b/>
        </w:rPr>
        <w:t>progetti di innovazione sociale per la creazione di nuova occupazione;</w:t>
      </w:r>
    </w:p>
    <w:p w14:paraId="79161BCF" w14:textId="77777777" w:rsidR="0057704A" w:rsidRDefault="004A66A7">
      <w:pPr>
        <w:pStyle w:val="Paragrafoelenco"/>
        <w:numPr>
          <w:ilvl w:val="0"/>
          <w:numId w:val="11"/>
        </w:numPr>
        <w:spacing w:after="0" w:line="240" w:lineRule="auto"/>
        <w:jc w:val="both"/>
      </w:pPr>
      <w:r>
        <w:rPr>
          <w:rFonts w:cs="Calibri"/>
          <w:b/>
        </w:rPr>
        <w:t>dottorati</w:t>
      </w:r>
      <w:r>
        <w:rPr>
          <w:rFonts w:cs="Calibri"/>
          <w:bCs/>
        </w:rPr>
        <w:t xml:space="preserve"> innovativi in particolare negli ambiti individuati dalla Strategia S3.</w:t>
      </w:r>
    </w:p>
    <w:p w14:paraId="79161BD0" w14:textId="77777777" w:rsidR="0057704A" w:rsidRDefault="0057704A">
      <w:pPr>
        <w:pStyle w:val="Paragrafoelenco"/>
        <w:spacing w:after="0" w:line="240" w:lineRule="auto"/>
        <w:jc w:val="both"/>
        <w:rPr>
          <w:rFonts w:cs="Calibri"/>
          <w:bCs/>
        </w:rPr>
      </w:pPr>
    </w:p>
    <w:p w14:paraId="79161BD1" w14:textId="77777777" w:rsidR="0057704A" w:rsidRDefault="004A66A7">
      <w:pPr>
        <w:pStyle w:val="Standard"/>
        <w:spacing w:after="0" w:line="240" w:lineRule="auto"/>
        <w:jc w:val="both"/>
      </w:pPr>
      <w:r>
        <w:rPr>
          <w:rFonts w:cs="Calibri"/>
          <w:bCs/>
        </w:rPr>
        <w:t>I</w:t>
      </w:r>
      <w:r>
        <w:rPr>
          <w:rFonts w:cs="Calibri"/>
          <w:b/>
          <w:color w:val="2E74B5"/>
          <w:sz w:val="20"/>
          <w:szCs w:val="20"/>
        </w:rPr>
        <w:t xml:space="preserve"> </w:t>
      </w:r>
      <w:bookmarkStart w:id="12" w:name="_Hlk129174208"/>
      <w:r>
        <w:rPr>
          <w:rFonts w:cs="Calibri"/>
          <w:b/>
          <w:i/>
          <w:iCs/>
          <w:color w:val="0070C0"/>
        </w:rPr>
        <w:t>Modelli innovativi di politica attiva /di inserimento occupazionale</w:t>
      </w:r>
      <w:r>
        <w:rPr>
          <w:rFonts w:cs="Calibri"/>
          <w:color w:val="0070C0"/>
          <w:sz w:val="18"/>
          <w:szCs w:val="18"/>
        </w:rPr>
        <w:t xml:space="preserve">, </w:t>
      </w:r>
      <w:r>
        <w:rPr>
          <w:rFonts w:cs="Calibri"/>
        </w:rPr>
        <w:t>previsti da due amministrazioni nell’OS a, contemplano tra le linee di azione:</w:t>
      </w:r>
    </w:p>
    <w:p w14:paraId="79161BD2" w14:textId="77777777" w:rsidR="0057704A" w:rsidRDefault="004A66A7">
      <w:pPr>
        <w:pStyle w:val="Paragrafoelenco"/>
        <w:numPr>
          <w:ilvl w:val="0"/>
          <w:numId w:val="51"/>
        </w:numPr>
        <w:spacing w:after="0" w:line="240" w:lineRule="auto"/>
        <w:jc w:val="both"/>
      </w:pPr>
      <w:r>
        <w:rPr>
          <w:rFonts w:cs="Calibri"/>
        </w:rPr>
        <w:t xml:space="preserve">gli incentivi per la moltiplicazione degli </w:t>
      </w:r>
      <w:r>
        <w:rPr>
          <w:rFonts w:cs="Calibri"/>
          <w:b/>
          <w:bCs/>
        </w:rPr>
        <w:t>spazi di aggregazione</w:t>
      </w:r>
      <w:r>
        <w:rPr>
          <w:rFonts w:cs="Calibri"/>
        </w:rPr>
        <w:t xml:space="preserve"> giovanile (</w:t>
      </w:r>
      <w:r>
        <w:rPr>
          <w:rFonts w:cs="Calibri"/>
          <w:i/>
          <w:iCs/>
        </w:rPr>
        <w:t>Community Hub</w:t>
      </w:r>
      <w:r>
        <w:rPr>
          <w:rFonts w:cs="Calibri"/>
        </w:rPr>
        <w:t>);</w:t>
      </w:r>
    </w:p>
    <w:p w14:paraId="79161BD3" w14:textId="77777777" w:rsidR="0057704A" w:rsidRDefault="004A66A7">
      <w:pPr>
        <w:pStyle w:val="Paragrafoelenco"/>
        <w:numPr>
          <w:ilvl w:val="0"/>
          <w:numId w:val="15"/>
        </w:numPr>
        <w:spacing w:after="0" w:line="240" w:lineRule="auto"/>
        <w:jc w:val="both"/>
      </w:pPr>
      <w:r>
        <w:rPr>
          <w:rFonts w:cs="Calibri"/>
        </w:rPr>
        <w:t xml:space="preserve">la creazione </w:t>
      </w:r>
      <w:r>
        <w:rPr>
          <w:rFonts w:cs="Calibri"/>
          <w:b/>
          <w:bCs/>
        </w:rPr>
        <w:t>di reti di qualità</w:t>
      </w:r>
      <w:r>
        <w:rPr>
          <w:rFonts w:cs="Calibri"/>
        </w:rPr>
        <w:t>, dove valorizzare e promuovere iniziative culturali e servizi per ricercare lavoro e per promuovere impresa, grazie alla collaborazione del sistema di impresa e spazi collaborativi di lavoro (</w:t>
      </w:r>
      <w:r>
        <w:rPr>
          <w:rFonts w:cs="Calibri"/>
          <w:i/>
          <w:iCs/>
        </w:rPr>
        <w:t>coworking</w:t>
      </w:r>
      <w:r>
        <w:rPr>
          <w:rFonts w:cs="Calibri"/>
        </w:rPr>
        <w:t>);</w:t>
      </w:r>
    </w:p>
    <w:p w14:paraId="79161BD4" w14:textId="77777777" w:rsidR="0057704A" w:rsidRDefault="004A66A7">
      <w:pPr>
        <w:pStyle w:val="Paragrafoelenco"/>
        <w:numPr>
          <w:ilvl w:val="0"/>
          <w:numId w:val="15"/>
        </w:numPr>
        <w:spacing w:after="0" w:line="240" w:lineRule="auto"/>
        <w:jc w:val="both"/>
      </w:pPr>
      <w:r>
        <w:rPr>
          <w:rFonts w:cs="Calibri"/>
        </w:rPr>
        <w:t xml:space="preserve">sviluppo di </w:t>
      </w:r>
      <w:r>
        <w:rPr>
          <w:rFonts w:cs="Calibri"/>
          <w:b/>
          <w:bCs/>
        </w:rPr>
        <w:t>modelli innovativi</w:t>
      </w:r>
      <w:r>
        <w:rPr>
          <w:rFonts w:cs="Calibri"/>
        </w:rPr>
        <w:t xml:space="preserve"> per l’analisi delle </w:t>
      </w:r>
      <w:r>
        <w:rPr>
          <w:rFonts w:cs="Calibri"/>
          <w:b/>
          <w:bCs/>
        </w:rPr>
        <w:t>dinamiche del lavoro</w:t>
      </w:r>
      <w:r>
        <w:rPr>
          <w:rFonts w:cs="Calibri"/>
        </w:rPr>
        <w:t>, dei fabbisogni formativi e delle nuove competenze richieste dal mondo produttivo.</w:t>
      </w:r>
    </w:p>
    <w:p w14:paraId="79161BD5" w14:textId="77777777" w:rsidR="0057704A" w:rsidRDefault="004A66A7">
      <w:pPr>
        <w:pStyle w:val="Standard"/>
        <w:spacing w:after="0" w:line="240" w:lineRule="auto"/>
        <w:jc w:val="both"/>
      </w:pPr>
      <w:r>
        <w:rPr>
          <w:rFonts w:cs="Calibri"/>
          <w:bCs/>
        </w:rPr>
        <w:t xml:space="preserve">Saranno altresì finanziate iniziative di innovazione sociale attraverso il sostegno a </w:t>
      </w:r>
      <w:r>
        <w:rPr>
          <w:rFonts w:cs="Calibri"/>
          <w:b/>
          <w:i/>
          <w:iCs/>
        </w:rPr>
        <w:t>Reti e collaborazioni</w:t>
      </w:r>
      <w:r>
        <w:rPr>
          <w:rFonts w:cs="Calibri"/>
          <w:b/>
        </w:rPr>
        <w:t xml:space="preserve">, </w:t>
      </w:r>
      <w:r>
        <w:rPr>
          <w:rFonts w:cs="Calibri"/>
          <w:bCs/>
        </w:rPr>
        <w:t>anche</w:t>
      </w:r>
      <w:r>
        <w:rPr>
          <w:rFonts w:cs="Calibri"/>
          <w:b/>
        </w:rPr>
        <w:t xml:space="preserve"> </w:t>
      </w:r>
      <w:r>
        <w:rPr>
          <w:rFonts w:cs="Calibri"/>
          <w:bCs/>
        </w:rPr>
        <w:t>sulla base del modello “one stop shop”, per favorire l'accesso integrato sia ai servizi per il lavoro, l'orientamento, i servizi sociali, la formazione, la scuola, l’università, ma anche a quelli per il co-working e co-</w:t>
      </w:r>
      <w:proofErr w:type="spellStart"/>
      <w:r>
        <w:rPr>
          <w:rFonts w:cs="Calibri"/>
          <w:bCs/>
        </w:rPr>
        <w:t>studing</w:t>
      </w:r>
      <w:proofErr w:type="spellEnd"/>
      <w:r>
        <w:rPr>
          <w:rFonts w:cs="Calibri"/>
          <w:bCs/>
        </w:rPr>
        <w:t>.</w:t>
      </w:r>
    </w:p>
    <w:p w14:paraId="79161BD6" w14:textId="77777777" w:rsidR="0057704A" w:rsidRDefault="004A66A7">
      <w:pPr>
        <w:pStyle w:val="Standard"/>
        <w:spacing w:after="0" w:line="240" w:lineRule="auto"/>
        <w:jc w:val="both"/>
      </w:pPr>
      <w:r>
        <w:rPr>
          <w:rFonts w:cs="Calibri"/>
          <w:bCs/>
        </w:rPr>
        <w:t xml:space="preserve">Sebbene in via residuale in questa priorità, sono stati previsti anche interventi per promuovere </w:t>
      </w:r>
      <w:r>
        <w:rPr>
          <w:rFonts w:cs="Calibri"/>
          <w:b/>
        </w:rPr>
        <w:t>Business e innovazione sociale</w:t>
      </w:r>
      <w:r>
        <w:rPr>
          <w:rFonts w:cs="Calibri"/>
          <w:bCs/>
        </w:rPr>
        <w:t xml:space="preserve"> attraverso l’attivazione d</w:t>
      </w:r>
      <w:r>
        <w:rPr>
          <w:rFonts w:cs="Calibri"/>
          <w:sz w:val="20"/>
          <w:szCs w:val="20"/>
        </w:rPr>
        <w:t xml:space="preserve">i </w:t>
      </w:r>
      <w:r>
        <w:rPr>
          <w:rFonts w:cs="Calibri"/>
        </w:rPr>
        <w:t>Partenariati tra investitori e promotori ed enti di formazione utilizzando</w:t>
      </w:r>
      <w:r>
        <w:rPr>
          <w:rFonts w:cs="Calibri"/>
          <w:bCs/>
        </w:rPr>
        <w:t xml:space="preserve"> strumenti </w:t>
      </w:r>
      <w:proofErr w:type="spellStart"/>
      <w:r>
        <w:rPr>
          <w:rFonts w:cs="Calibri"/>
          <w:bCs/>
          <w:i/>
          <w:iCs/>
        </w:rPr>
        <w:t>pay</w:t>
      </w:r>
      <w:proofErr w:type="spellEnd"/>
      <w:r>
        <w:rPr>
          <w:rFonts w:cs="Calibri"/>
          <w:bCs/>
          <w:i/>
          <w:iCs/>
        </w:rPr>
        <w:t xml:space="preserve"> by </w:t>
      </w:r>
      <w:proofErr w:type="spellStart"/>
      <w:r>
        <w:rPr>
          <w:rFonts w:cs="Calibri"/>
          <w:bCs/>
          <w:i/>
          <w:iCs/>
        </w:rPr>
        <w:t>result</w:t>
      </w:r>
      <w:proofErr w:type="spellEnd"/>
      <w:r>
        <w:rPr>
          <w:rFonts w:cs="Calibri"/>
          <w:bCs/>
        </w:rPr>
        <w:t xml:space="preserve"> (Talent UP </w:t>
      </w:r>
      <w:proofErr w:type="spellStart"/>
      <w:r>
        <w:rPr>
          <w:rFonts w:cs="Calibri"/>
          <w:bCs/>
        </w:rPr>
        <w:t>Entrepreneurship</w:t>
      </w:r>
      <w:proofErr w:type="spellEnd"/>
      <w:r>
        <w:rPr>
          <w:rFonts w:cs="Calibri"/>
          <w:bCs/>
        </w:rPr>
        <w:t xml:space="preserve"> and Back) (OS a).</w:t>
      </w:r>
    </w:p>
    <w:p w14:paraId="79161BD7" w14:textId="77777777" w:rsidR="0057704A" w:rsidRDefault="0057704A">
      <w:pPr>
        <w:pStyle w:val="Standard"/>
        <w:spacing w:after="0" w:line="240" w:lineRule="auto"/>
        <w:jc w:val="both"/>
        <w:rPr>
          <w:rFonts w:cs="Calibri"/>
          <w:bCs/>
        </w:rPr>
      </w:pPr>
    </w:p>
    <w:p w14:paraId="79161BD8" w14:textId="77777777" w:rsidR="0057704A" w:rsidRPr="00A800AB" w:rsidRDefault="004A66A7">
      <w:pPr>
        <w:pStyle w:val="Titolo4"/>
        <w:shd w:val="clear" w:color="auto" w:fill="92D050"/>
        <w:spacing w:before="0" w:line="240" w:lineRule="auto"/>
        <w:rPr>
          <w:color w:val="002060"/>
        </w:rPr>
      </w:pPr>
      <w:bookmarkStart w:id="13" w:name="_Hlk129174161"/>
      <w:bookmarkEnd w:id="12"/>
      <w:r w:rsidRPr="00A800AB">
        <w:rPr>
          <w:b/>
          <w:bCs/>
          <w:color w:val="002060"/>
          <w:sz w:val="24"/>
          <w:szCs w:val="24"/>
          <w:lang w:eastAsia="it-IT"/>
        </w:rPr>
        <w:t>Priorità Inclusione Sociale</w:t>
      </w:r>
    </w:p>
    <w:p w14:paraId="79161BD9" w14:textId="77777777" w:rsidR="0057704A" w:rsidRDefault="004A66A7">
      <w:pPr>
        <w:pStyle w:val="Standard"/>
        <w:spacing w:after="0" w:line="240" w:lineRule="auto"/>
        <w:jc w:val="both"/>
      </w:pPr>
      <w:r>
        <w:rPr>
          <w:rFonts w:cs="Calibri"/>
          <w:bCs/>
        </w:rPr>
        <w:t xml:space="preserve">In ambito Inclusione il sostegno </w:t>
      </w:r>
      <w:r>
        <w:rPr>
          <w:rFonts w:cs="Calibri"/>
          <w:b/>
        </w:rPr>
        <w:t xml:space="preserve">all’innovazione sociale </w:t>
      </w:r>
      <w:r>
        <w:rPr>
          <w:rFonts w:cs="Calibri"/>
          <w:bCs/>
        </w:rPr>
        <w:t>riguarda essenzialmente i</w:t>
      </w:r>
      <w:r>
        <w:rPr>
          <w:rFonts w:cs="Calibri"/>
          <w:b/>
        </w:rPr>
        <w:t xml:space="preserve"> servizi </w:t>
      </w:r>
      <w:r>
        <w:rPr>
          <w:rFonts w:cs="Calibri"/>
          <w:bCs/>
        </w:rPr>
        <w:t xml:space="preserve">e gli interventi sono programmati in </w:t>
      </w:r>
      <w:r>
        <w:rPr>
          <w:rFonts w:cs="Calibri"/>
          <w:b/>
        </w:rPr>
        <w:t>un’ottica sperimentale</w:t>
      </w:r>
      <w:r>
        <w:rPr>
          <w:rFonts w:cs="Calibri"/>
          <w:bCs/>
        </w:rPr>
        <w:t xml:space="preserve"> o replicando </w:t>
      </w:r>
      <w:r>
        <w:rPr>
          <w:rFonts w:cs="Calibri"/>
          <w:b/>
        </w:rPr>
        <w:t>esperienze virtuose</w:t>
      </w:r>
      <w:r>
        <w:rPr>
          <w:rFonts w:cs="Calibri"/>
          <w:bCs/>
        </w:rPr>
        <w:t xml:space="preserve"> provenienti da altri contesti. Si è puntato inoltre al </w:t>
      </w:r>
      <w:r>
        <w:rPr>
          <w:rFonts w:cs="Calibri"/>
          <w:b/>
        </w:rPr>
        <w:t>rafforzamento delle competenze</w:t>
      </w:r>
      <w:r>
        <w:rPr>
          <w:rFonts w:cs="Calibri"/>
          <w:bCs/>
        </w:rPr>
        <w:t xml:space="preserve"> degli operatori, attraverso l’inserimento di nuove figure ad elevata professionalità o la riqualificazione dei profili già presenti, per sostenere il processo di innovazione dei servizi.</w:t>
      </w:r>
    </w:p>
    <w:p w14:paraId="79161BDA" w14:textId="77777777" w:rsidR="0057704A" w:rsidRDefault="004A66A7">
      <w:pPr>
        <w:pStyle w:val="Standard"/>
        <w:spacing w:after="0" w:line="240" w:lineRule="auto"/>
        <w:jc w:val="both"/>
      </w:pPr>
      <w:r>
        <w:rPr>
          <w:rFonts w:cs="Calibri"/>
          <w:bCs/>
        </w:rPr>
        <w:lastRenderedPageBreak/>
        <w:t>Il</w:t>
      </w:r>
      <w:r>
        <w:rPr>
          <w:rFonts w:cs="Calibri"/>
          <w:b/>
        </w:rPr>
        <w:t xml:space="preserve"> </w:t>
      </w:r>
      <w:r>
        <w:rPr>
          <w:rFonts w:cs="Calibri"/>
          <w:bCs/>
        </w:rPr>
        <w:t>cluster più ampio e più diversificato è quello relativo ai</w:t>
      </w:r>
      <w:r>
        <w:rPr>
          <w:rFonts w:cs="Calibri"/>
          <w:b/>
        </w:rPr>
        <w:t xml:space="preserve"> </w:t>
      </w:r>
      <w:r>
        <w:rPr>
          <w:rFonts w:cs="Calibri"/>
          <w:b/>
          <w:i/>
          <w:iCs/>
          <w:color w:val="0070C0"/>
        </w:rPr>
        <w:t xml:space="preserve">Modelli innovativi di welfare e servizi sociali (servizi abitativi, servizi di cura, assistenza </w:t>
      </w:r>
      <w:proofErr w:type="gramStart"/>
      <w:r>
        <w:rPr>
          <w:rFonts w:cs="Calibri"/>
          <w:b/>
          <w:i/>
          <w:iCs/>
          <w:color w:val="0070C0"/>
        </w:rPr>
        <w:t>…)</w:t>
      </w:r>
      <w:r>
        <w:rPr>
          <w:rFonts w:cs="Calibri"/>
          <w:bCs/>
        </w:rPr>
        <w:t>in</w:t>
      </w:r>
      <w:proofErr w:type="gramEnd"/>
      <w:r>
        <w:rPr>
          <w:rFonts w:cs="Calibri"/>
          <w:bCs/>
        </w:rPr>
        <w:t xml:space="preserve"> cui sono stati programmati interventi</w:t>
      </w:r>
      <w:r>
        <w:rPr>
          <w:rFonts w:cs="Calibri"/>
          <w:b/>
          <w:i/>
          <w:iCs/>
        </w:rPr>
        <w:t xml:space="preserve">  </w:t>
      </w:r>
      <w:r>
        <w:rPr>
          <w:rFonts w:cs="Calibri"/>
          <w:bCs/>
        </w:rPr>
        <w:t>volti ad ampliare ed innovare i modelli e l’offerta dei servizi sociali, in particolare per soddisfare i bisogni di quei target caratterizzati da maggiore fragilità socio-economica e per contribuire a sviluppare un welfare di prossimità, valorizzando le connessioni territoriali. Tra questi modelli innovativi è possibile distinguere più in dettaglio gli interventi nell’ambito delle diverse tipologie di servizi.</w:t>
      </w:r>
    </w:p>
    <w:p w14:paraId="79161BDB" w14:textId="77777777" w:rsidR="0057704A" w:rsidRDefault="004A66A7">
      <w:pPr>
        <w:pStyle w:val="Standard"/>
        <w:spacing w:after="0" w:line="240" w:lineRule="auto"/>
        <w:jc w:val="both"/>
      </w:pPr>
      <w:r>
        <w:rPr>
          <w:rFonts w:cs="Calibri"/>
          <w:bCs/>
        </w:rPr>
        <w:t xml:space="preserve">Con riferimento ai </w:t>
      </w:r>
      <w:r>
        <w:rPr>
          <w:rFonts w:cs="Calibri"/>
          <w:bCs/>
          <w:i/>
          <w:iCs/>
          <w:color w:val="0070C0"/>
          <w:u w:val="single"/>
        </w:rPr>
        <w:t>Servizi abitativi innovativi</w:t>
      </w:r>
      <w:r>
        <w:rPr>
          <w:rFonts w:cs="Calibri"/>
          <w:bCs/>
        </w:rPr>
        <w:t xml:space="preserve">, gli interventi sono prevalentemente collocati in </w:t>
      </w:r>
      <w:r>
        <w:rPr>
          <w:rFonts w:cs="Calibri"/>
          <w:bCs/>
          <w:i/>
          <w:iCs/>
        </w:rPr>
        <w:t>OS k</w:t>
      </w:r>
      <w:r>
        <w:rPr>
          <w:rFonts w:cs="Calibri"/>
          <w:bCs/>
        </w:rPr>
        <w:t xml:space="preserve"> e prevedono:</w:t>
      </w:r>
    </w:p>
    <w:p w14:paraId="79161BDC" w14:textId="77777777" w:rsidR="0057704A" w:rsidRDefault="004A66A7">
      <w:pPr>
        <w:pStyle w:val="Paragrafoelenco"/>
        <w:numPr>
          <w:ilvl w:val="0"/>
          <w:numId w:val="52"/>
        </w:numPr>
        <w:spacing w:after="0" w:line="240" w:lineRule="auto"/>
        <w:jc w:val="both"/>
      </w:pPr>
      <w:r>
        <w:rPr>
          <w:rFonts w:cs="Calibri"/>
          <w:b/>
          <w:bCs/>
          <w:sz w:val="21"/>
          <w:szCs w:val="21"/>
        </w:rPr>
        <w:t>modelli sperimentali di innovazione abitativa</w:t>
      </w:r>
      <w:r>
        <w:rPr>
          <w:rFonts w:cs="Calibri"/>
          <w:sz w:val="21"/>
          <w:szCs w:val="21"/>
        </w:rPr>
        <w:t xml:space="preserve">, </w:t>
      </w:r>
      <w:r>
        <w:rPr>
          <w:rFonts w:cs="Calibri"/>
          <w:i/>
          <w:iCs/>
          <w:sz w:val="21"/>
          <w:szCs w:val="21"/>
        </w:rPr>
        <w:t>sociale e di welfare</w:t>
      </w:r>
      <w:r>
        <w:rPr>
          <w:rFonts w:cs="Calibri"/>
          <w:sz w:val="21"/>
          <w:szCs w:val="21"/>
        </w:rPr>
        <w:t xml:space="preserve"> locale in grado di promuovere un </w:t>
      </w:r>
      <w:r>
        <w:rPr>
          <w:rFonts w:cs="Calibri"/>
          <w:b/>
          <w:bCs/>
          <w:sz w:val="21"/>
          <w:szCs w:val="21"/>
        </w:rPr>
        <w:t>sistema integrato di azioni e servizi</w:t>
      </w:r>
      <w:r>
        <w:rPr>
          <w:rFonts w:cs="Calibri"/>
          <w:sz w:val="21"/>
          <w:szCs w:val="21"/>
        </w:rPr>
        <w:t xml:space="preserve"> volti a coniugare la dimensione sociale dell’abitare con percorsi individualizzati di inserimento sociale, educativo e sanitario;</w:t>
      </w:r>
    </w:p>
    <w:p w14:paraId="79161BDD" w14:textId="7F2215AF" w:rsidR="0057704A" w:rsidRDefault="004A66A7">
      <w:pPr>
        <w:pStyle w:val="Paragrafoelenco"/>
        <w:numPr>
          <w:ilvl w:val="0"/>
          <w:numId w:val="32"/>
        </w:numPr>
        <w:spacing w:after="0" w:line="240" w:lineRule="auto"/>
        <w:jc w:val="both"/>
      </w:pPr>
      <w:r>
        <w:rPr>
          <w:rFonts w:cs="Calibri"/>
          <w:b/>
          <w:bCs/>
          <w:sz w:val="21"/>
          <w:szCs w:val="21"/>
        </w:rPr>
        <w:t>progetti sperimentali di housing sociale</w:t>
      </w:r>
      <w:r>
        <w:rPr>
          <w:rFonts w:cs="Calibri"/>
          <w:sz w:val="21"/>
          <w:szCs w:val="21"/>
        </w:rPr>
        <w:t xml:space="preserve"> e </w:t>
      </w:r>
      <w:r>
        <w:rPr>
          <w:rFonts w:cs="Calibri"/>
          <w:b/>
          <w:bCs/>
          <w:sz w:val="21"/>
          <w:szCs w:val="21"/>
        </w:rPr>
        <w:t>modelli sperimentali</w:t>
      </w:r>
      <w:r>
        <w:rPr>
          <w:rFonts w:cs="Calibri"/>
          <w:sz w:val="21"/>
          <w:szCs w:val="21"/>
        </w:rPr>
        <w:t xml:space="preserve"> finalizzati alla gestione ed alla prevenzione del disagio abitativo </w:t>
      </w:r>
      <w:r w:rsidR="00A52864">
        <w:rPr>
          <w:rFonts w:cs="Calibri"/>
          <w:sz w:val="21"/>
          <w:szCs w:val="21"/>
        </w:rPr>
        <w:t>(incluso</w:t>
      </w:r>
      <w:r>
        <w:rPr>
          <w:rFonts w:cs="Calibri"/>
          <w:sz w:val="21"/>
          <w:szCs w:val="21"/>
        </w:rPr>
        <w:t xml:space="preserve"> l’accompagnamento nella risoluzione dei conflitti nelle coabitazioni, il sostegno nella ricerca di abitazioni adeguate, il sostegno economico temporaneo per gli affitti attraverso l'utilizzo di voucher);</w:t>
      </w:r>
    </w:p>
    <w:p w14:paraId="79161BDE" w14:textId="77777777" w:rsidR="0057704A" w:rsidRDefault="004A66A7">
      <w:pPr>
        <w:pStyle w:val="Paragrafoelenco"/>
        <w:numPr>
          <w:ilvl w:val="0"/>
          <w:numId w:val="32"/>
        </w:numPr>
        <w:spacing w:after="0" w:line="240" w:lineRule="auto"/>
        <w:jc w:val="both"/>
      </w:pPr>
      <w:r>
        <w:rPr>
          <w:rFonts w:cs="Calibri"/>
          <w:sz w:val="21"/>
          <w:szCs w:val="21"/>
        </w:rPr>
        <w:t xml:space="preserve">il </w:t>
      </w:r>
      <w:r>
        <w:rPr>
          <w:rFonts w:cs="Calibri"/>
          <w:b/>
          <w:bCs/>
          <w:sz w:val="21"/>
          <w:szCs w:val="21"/>
        </w:rPr>
        <w:t>riutilizzo dei beni immobili, compresi i beni confiscati</w:t>
      </w:r>
      <w:r>
        <w:rPr>
          <w:rFonts w:cs="Calibri"/>
          <w:sz w:val="21"/>
          <w:szCs w:val="21"/>
        </w:rPr>
        <w:t xml:space="preserve"> alla criminalità organizzata, per un’offerta innovativa dei servizi abitativi (anche attraverso il anche attraverso percorsi di co-progettazione.</w:t>
      </w:r>
    </w:p>
    <w:p w14:paraId="79161BDF" w14:textId="77777777" w:rsidR="0057704A" w:rsidRDefault="0057704A">
      <w:pPr>
        <w:pStyle w:val="Paragrafoelenco"/>
        <w:spacing w:after="0" w:line="240" w:lineRule="auto"/>
        <w:ind w:left="768"/>
        <w:jc w:val="both"/>
        <w:rPr>
          <w:rFonts w:cs="Calibri"/>
          <w:sz w:val="21"/>
          <w:szCs w:val="21"/>
        </w:rPr>
      </w:pPr>
    </w:p>
    <w:p w14:paraId="79161BE0" w14:textId="2A4A4A36" w:rsidR="0057704A" w:rsidRDefault="004A66A7">
      <w:pPr>
        <w:pStyle w:val="Standard"/>
        <w:spacing w:after="0" w:line="240" w:lineRule="auto"/>
        <w:jc w:val="both"/>
      </w:pPr>
      <w:r>
        <w:rPr>
          <w:rFonts w:cs="Calibri"/>
          <w:sz w:val="21"/>
          <w:szCs w:val="21"/>
        </w:rPr>
        <w:t xml:space="preserve">In </w:t>
      </w:r>
      <w:r>
        <w:rPr>
          <w:rFonts w:cs="Calibri"/>
          <w:i/>
          <w:iCs/>
          <w:sz w:val="21"/>
          <w:szCs w:val="21"/>
        </w:rPr>
        <w:t xml:space="preserve">OS </w:t>
      </w:r>
      <w:proofErr w:type="gramStart"/>
      <w:r>
        <w:rPr>
          <w:rFonts w:cs="Calibri"/>
          <w:i/>
          <w:iCs/>
          <w:sz w:val="21"/>
          <w:szCs w:val="21"/>
        </w:rPr>
        <w:t>l</w:t>
      </w:r>
      <w:r>
        <w:rPr>
          <w:rFonts w:cs="Calibri"/>
          <w:sz w:val="21"/>
          <w:szCs w:val="21"/>
        </w:rPr>
        <w:t xml:space="preserve"> è</w:t>
      </w:r>
      <w:proofErr w:type="gramEnd"/>
      <w:r>
        <w:rPr>
          <w:rFonts w:cs="Calibri"/>
          <w:sz w:val="21"/>
          <w:szCs w:val="21"/>
        </w:rPr>
        <w:t xml:space="preserve"> stata prevista la sperimentazione di </w:t>
      </w:r>
      <w:r>
        <w:rPr>
          <w:rFonts w:cs="Calibri"/>
          <w:b/>
          <w:bCs/>
          <w:sz w:val="21"/>
          <w:szCs w:val="21"/>
        </w:rPr>
        <w:t xml:space="preserve">progetti a carattere innovativo di sostegno all’abitare </w:t>
      </w:r>
      <w:r>
        <w:rPr>
          <w:rFonts w:cs="Calibri"/>
          <w:sz w:val="21"/>
          <w:szCs w:val="21"/>
        </w:rPr>
        <w:t xml:space="preserve">per i senza dimora, quali mense, rifugi temporanei, centri “bed and food”, centri doccia, </w:t>
      </w:r>
      <w:r w:rsidR="00A52864">
        <w:rPr>
          <w:rFonts w:cs="Calibri"/>
          <w:sz w:val="21"/>
          <w:szCs w:val="21"/>
        </w:rPr>
        <w:t>ecc</w:t>
      </w:r>
      <w:r w:rsidR="00A52864">
        <w:rPr>
          <w:rFonts w:cs="Calibri"/>
          <w:i/>
          <w:iCs/>
          <w:sz w:val="21"/>
          <w:szCs w:val="21"/>
        </w:rPr>
        <w:t>.</w:t>
      </w:r>
    </w:p>
    <w:p w14:paraId="79161BE1" w14:textId="77777777" w:rsidR="0057704A" w:rsidRDefault="0057704A">
      <w:pPr>
        <w:pStyle w:val="Standard"/>
        <w:spacing w:after="0" w:line="240" w:lineRule="auto"/>
        <w:jc w:val="both"/>
        <w:rPr>
          <w:rFonts w:cs="Calibri"/>
          <w:sz w:val="21"/>
          <w:szCs w:val="21"/>
        </w:rPr>
      </w:pPr>
    </w:p>
    <w:p w14:paraId="79161BE2" w14:textId="63CFFBFD" w:rsidR="0057704A" w:rsidRDefault="004A66A7">
      <w:pPr>
        <w:pStyle w:val="Standard"/>
        <w:spacing w:after="0" w:line="240" w:lineRule="auto"/>
        <w:jc w:val="both"/>
      </w:pPr>
      <w:r>
        <w:rPr>
          <w:rFonts w:cs="Calibri"/>
          <w:sz w:val="21"/>
          <w:szCs w:val="21"/>
        </w:rPr>
        <w:t xml:space="preserve">Collocate tutti in OS k, le misure nell’ambito dei </w:t>
      </w:r>
      <w:r>
        <w:rPr>
          <w:rFonts w:cs="Calibri"/>
          <w:bCs/>
          <w:i/>
          <w:iCs/>
          <w:color w:val="0070C0"/>
          <w:u w:val="single"/>
        </w:rPr>
        <w:t xml:space="preserve">Servizi di cura e </w:t>
      </w:r>
      <w:proofErr w:type="gramStart"/>
      <w:r>
        <w:rPr>
          <w:rFonts w:cs="Calibri"/>
          <w:bCs/>
          <w:i/>
          <w:iCs/>
          <w:color w:val="0070C0"/>
          <w:u w:val="single"/>
        </w:rPr>
        <w:t>socio-</w:t>
      </w:r>
      <w:r w:rsidR="000A2227">
        <w:rPr>
          <w:rFonts w:cs="Calibri"/>
          <w:bCs/>
          <w:i/>
          <w:iCs/>
          <w:color w:val="0070C0"/>
          <w:u w:val="single"/>
        </w:rPr>
        <w:t>sanitari</w:t>
      </w:r>
      <w:proofErr w:type="gramEnd"/>
      <w:r w:rsidR="000A2227">
        <w:rPr>
          <w:rFonts w:cs="Calibri"/>
          <w:sz w:val="20"/>
          <w:szCs w:val="20"/>
        </w:rPr>
        <w:t>,</w:t>
      </w:r>
      <w:r>
        <w:rPr>
          <w:rFonts w:cs="Calibri"/>
          <w:sz w:val="20"/>
          <w:szCs w:val="20"/>
        </w:rPr>
        <w:t xml:space="preserve"> </w:t>
      </w:r>
      <w:r>
        <w:rPr>
          <w:rFonts w:cs="Calibri"/>
          <w:sz w:val="21"/>
          <w:szCs w:val="21"/>
        </w:rPr>
        <w:t>prevedono:</w:t>
      </w:r>
    </w:p>
    <w:p w14:paraId="79161BE3" w14:textId="77777777" w:rsidR="0057704A" w:rsidRDefault="004A66A7">
      <w:pPr>
        <w:pStyle w:val="Paragrafoelenco"/>
        <w:numPr>
          <w:ilvl w:val="0"/>
          <w:numId w:val="53"/>
        </w:numPr>
        <w:spacing w:after="0" w:line="240" w:lineRule="auto"/>
        <w:jc w:val="both"/>
      </w:pPr>
      <w:r>
        <w:rPr>
          <w:rFonts w:cs="Calibri"/>
          <w:sz w:val="21"/>
          <w:szCs w:val="21"/>
        </w:rPr>
        <w:t xml:space="preserve">la progettazione di </w:t>
      </w:r>
      <w:r>
        <w:rPr>
          <w:rFonts w:cs="Calibri"/>
          <w:b/>
          <w:bCs/>
          <w:sz w:val="21"/>
          <w:szCs w:val="21"/>
        </w:rPr>
        <w:t>nuovi servizi e nuovi sistemi</w:t>
      </w:r>
      <w:r>
        <w:rPr>
          <w:rFonts w:cs="Calibri"/>
          <w:sz w:val="21"/>
          <w:szCs w:val="21"/>
        </w:rPr>
        <w:t xml:space="preserve"> di supporto alla responsabilità di cura;</w:t>
      </w:r>
    </w:p>
    <w:p w14:paraId="79161BE4" w14:textId="77777777" w:rsidR="0057704A" w:rsidRDefault="004A66A7">
      <w:pPr>
        <w:pStyle w:val="Paragrafoelenco"/>
        <w:numPr>
          <w:ilvl w:val="0"/>
          <w:numId w:val="33"/>
        </w:numPr>
        <w:spacing w:after="0" w:line="240" w:lineRule="auto"/>
        <w:jc w:val="both"/>
      </w:pPr>
      <w:r>
        <w:rPr>
          <w:rFonts w:cs="Calibri"/>
          <w:sz w:val="21"/>
          <w:szCs w:val="21"/>
        </w:rPr>
        <w:t xml:space="preserve"> </w:t>
      </w:r>
      <w:r>
        <w:rPr>
          <w:rFonts w:cs="Calibri"/>
          <w:b/>
          <w:bCs/>
          <w:sz w:val="21"/>
          <w:szCs w:val="21"/>
        </w:rPr>
        <w:t>forme innovative per i servizi di cura e l'assistenza di lunga durata</w:t>
      </w:r>
      <w:r>
        <w:rPr>
          <w:rFonts w:cs="Calibri"/>
          <w:sz w:val="21"/>
          <w:szCs w:val="21"/>
        </w:rPr>
        <w:t xml:space="preserve">, inclusi servizi di </w:t>
      </w:r>
      <w:r>
        <w:rPr>
          <w:rFonts w:cs="Calibri"/>
          <w:b/>
          <w:bCs/>
          <w:sz w:val="21"/>
          <w:szCs w:val="21"/>
        </w:rPr>
        <w:t>teleassistenza,</w:t>
      </w:r>
      <w:r>
        <w:rPr>
          <w:rFonts w:cs="Calibri"/>
          <w:sz w:val="21"/>
          <w:szCs w:val="21"/>
        </w:rPr>
        <w:t xml:space="preserve"> per limitare la condizione d'isolamento, e servizi di assistenza domiciliare innovativi che prevedono l’utilizzo di </w:t>
      </w:r>
      <w:r>
        <w:rPr>
          <w:rFonts w:cs="Calibri"/>
          <w:b/>
          <w:bCs/>
          <w:sz w:val="21"/>
          <w:szCs w:val="21"/>
        </w:rPr>
        <w:t>tecnologie funzionali all’autonomia</w:t>
      </w:r>
      <w:r>
        <w:rPr>
          <w:rFonts w:cs="Calibri"/>
          <w:sz w:val="21"/>
          <w:szCs w:val="21"/>
        </w:rPr>
        <w:t xml:space="preserve"> della persona;</w:t>
      </w:r>
    </w:p>
    <w:p w14:paraId="79161BE5" w14:textId="77777777" w:rsidR="0057704A" w:rsidRDefault="004A66A7">
      <w:pPr>
        <w:pStyle w:val="Paragrafoelenco"/>
        <w:numPr>
          <w:ilvl w:val="0"/>
          <w:numId w:val="33"/>
        </w:numPr>
        <w:spacing w:after="0" w:line="240" w:lineRule="auto"/>
        <w:jc w:val="both"/>
      </w:pPr>
      <w:r>
        <w:rPr>
          <w:rFonts w:cs="Calibri"/>
          <w:sz w:val="21"/>
          <w:szCs w:val="21"/>
        </w:rPr>
        <w:t xml:space="preserve">la costruzione di </w:t>
      </w:r>
      <w:r>
        <w:rPr>
          <w:rFonts w:cs="Calibri"/>
          <w:b/>
          <w:bCs/>
          <w:sz w:val="21"/>
          <w:szCs w:val="21"/>
        </w:rPr>
        <w:t>reti istituzionali di assistenza sanitaria e sociosanitaria</w:t>
      </w:r>
      <w:r>
        <w:rPr>
          <w:rFonts w:cs="Calibri"/>
          <w:sz w:val="21"/>
          <w:szCs w:val="21"/>
        </w:rPr>
        <w:t xml:space="preserve"> finalizzata ad ampliare l’erogazione dei servizi di cura domiciliare;</w:t>
      </w:r>
    </w:p>
    <w:p w14:paraId="79161BE6" w14:textId="77777777" w:rsidR="0057704A" w:rsidRDefault="004A66A7">
      <w:pPr>
        <w:pStyle w:val="Paragrafoelenco"/>
        <w:numPr>
          <w:ilvl w:val="0"/>
          <w:numId w:val="33"/>
        </w:numPr>
        <w:spacing w:after="0" w:line="240" w:lineRule="auto"/>
        <w:jc w:val="both"/>
      </w:pPr>
      <w:r>
        <w:rPr>
          <w:lang w:eastAsia="it-IT"/>
        </w:rPr>
        <w:t xml:space="preserve">servizi per la </w:t>
      </w:r>
      <w:r>
        <w:rPr>
          <w:b/>
          <w:bCs/>
          <w:lang w:eastAsia="it-IT"/>
        </w:rPr>
        <w:t>promozione dell’invecchiamento in buona salute</w:t>
      </w:r>
      <w:r>
        <w:rPr>
          <w:lang w:eastAsia="it-IT"/>
        </w:rPr>
        <w:t>, agendo in un’ottica preventiva anche attraverso il coinvolgimento delle comunità;</w:t>
      </w:r>
    </w:p>
    <w:p w14:paraId="79161BE7" w14:textId="77777777" w:rsidR="0057704A" w:rsidRDefault="004A66A7">
      <w:pPr>
        <w:pStyle w:val="Paragrafoelenco"/>
        <w:numPr>
          <w:ilvl w:val="0"/>
          <w:numId w:val="33"/>
        </w:numPr>
        <w:spacing w:after="0" w:line="240" w:lineRule="auto"/>
        <w:jc w:val="both"/>
      </w:pPr>
      <w:r>
        <w:rPr>
          <w:lang w:eastAsia="it-IT"/>
        </w:rPr>
        <w:t xml:space="preserve">lo </w:t>
      </w:r>
      <w:r>
        <w:rPr>
          <w:rFonts w:cs="Calibri"/>
          <w:b/>
          <w:bCs/>
          <w:sz w:val="21"/>
          <w:szCs w:val="21"/>
        </w:rPr>
        <w:t>sviluppo dei servizi di residenzialità “aperta” e “leggera”.</w:t>
      </w:r>
    </w:p>
    <w:p w14:paraId="79161BE8" w14:textId="77777777" w:rsidR="0057704A" w:rsidRDefault="0057704A">
      <w:pPr>
        <w:pStyle w:val="Paragrafoelenco"/>
        <w:spacing w:after="0" w:line="240" w:lineRule="auto"/>
        <w:jc w:val="both"/>
        <w:rPr>
          <w:rFonts w:cs="Calibri"/>
          <w:b/>
          <w:bCs/>
          <w:sz w:val="21"/>
          <w:szCs w:val="21"/>
        </w:rPr>
      </w:pPr>
    </w:p>
    <w:p w14:paraId="79161BE9" w14:textId="486C4B99" w:rsidR="0057704A" w:rsidRDefault="004A66A7">
      <w:pPr>
        <w:pStyle w:val="Standard"/>
        <w:spacing w:after="0" w:line="240" w:lineRule="auto"/>
        <w:jc w:val="both"/>
      </w:pPr>
      <w:r>
        <w:rPr>
          <w:rFonts w:cs="Calibri"/>
          <w:bCs/>
        </w:rPr>
        <w:t xml:space="preserve">Per quanto riguarda i </w:t>
      </w:r>
      <w:r>
        <w:rPr>
          <w:rFonts w:cs="Calibri"/>
          <w:bCs/>
          <w:i/>
          <w:iCs/>
          <w:color w:val="0070C0"/>
          <w:u w:val="single"/>
        </w:rPr>
        <w:t>Servizi di supporto alla genitorialità e alle famiglie</w:t>
      </w:r>
      <w:r>
        <w:rPr>
          <w:rFonts w:cs="Calibri"/>
          <w:i/>
          <w:iCs/>
        </w:rPr>
        <w:t xml:space="preserve">, </w:t>
      </w:r>
      <w:r>
        <w:rPr>
          <w:rFonts w:cs="Calibri"/>
        </w:rPr>
        <w:t xml:space="preserve">collocati principalmente on OS k, sono previste azioni specifiche di </w:t>
      </w:r>
      <w:r>
        <w:rPr>
          <w:rFonts w:cs="Calibri"/>
          <w:b/>
          <w:bCs/>
        </w:rPr>
        <w:t xml:space="preserve">contrasto alla povertà </w:t>
      </w:r>
      <w:r w:rsidR="00455B46">
        <w:rPr>
          <w:rFonts w:cs="Calibri"/>
          <w:b/>
          <w:bCs/>
        </w:rPr>
        <w:t>socioeducativa</w:t>
      </w:r>
      <w:r>
        <w:rPr>
          <w:rFonts w:cs="Calibri"/>
        </w:rPr>
        <w:t xml:space="preserve"> con la sperimentazione di modelli d'intervento innovativi di sostegno alla famiglia e di supporto alla genitorialità.</w:t>
      </w:r>
    </w:p>
    <w:p w14:paraId="79161BEA" w14:textId="77777777" w:rsidR="0057704A" w:rsidRDefault="004A66A7">
      <w:pPr>
        <w:pStyle w:val="Standard"/>
        <w:spacing w:after="0" w:line="240" w:lineRule="auto"/>
        <w:jc w:val="both"/>
      </w:pPr>
      <w:r>
        <w:rPr>
          <w:rFonts w:cs="Calibri"/>
        </w:rPr>
        <w:t xml:space="preserve">In OS l, è stato previsto un </w:t>
      </w:r>
      <w:r>
        <w:rPr>
          <w:rFonts w:cs="Calibri"/>
          <w:b/>
          <w:bCs/>
        </w:rPr>
        <w:t xml:space="preserve">progetto di investimento diffuso </w:t>
      </w:r>
      <w:r>
        <w:rPr>
          <w:rFonts w:cs="Calibri"/>
        </w:rPr>
        <w:t xml:space="preserve">per l’infanzia e la genitorialità, dedicato a famiglie in situazioni di vulnerabilità, per </w:t>
      </w:r>
      <w:r>
        <w:rPr>
          <w:rFonts w:cs="Calibri"/>
          <w:b/>
          <w:bCs/>
        </w:rPr>
        <w:t>contribuire alla qualità dello sviluppo infantile e della società</w:t>
      </w:r>
      <w:r>
        <w:rPr>
          <w:rFonts w:cs="Calibri"/>
        </w:rPr>
        <w:t>.</w:t>
      </w:r>
    </w:p>
    <w:p w14:paraId="79161BEB" w14:textId="77777777" w:rsidR="0057704A" w:rsidRDefault="0057704A">
      <w:pPr>
        <w:pStyle w:val="Paragrafoelenco"/>
        <w:spacing w:after="0" w:line="240" w:lineRule="auto"/>
        <w:ind w:left="768"/>
        <w:jc w:val="both"/>
        <w:rPr>
          <w:rFonts w:cs="Calibri"/>
        </w:rPr>
      </w:pPr>
    </w:p>
    <w:p w14:paraId="79161BEC" w14:textId="586DE231" w:rsidR="0057704A" w:rsidRDefault="004A66A7">
      <w:pPr>
        <w:pStyle w:val="Standard"/>
        <w:spacing w:after="0" w:line="240" w:lineRule="auto"/>
        <w:jc w:val="both"/>
      </w:pPr>
      <w:r>
        <w:rPr>
          <w:rFonts w:cs="Calibri"/>
          <w:bCs/>
        </w:rPr>
        <w:t xml:space="preserve">Al fine di migliorare i </w:t>
      </w:r>
      <w:r>
        <w:rPr>
          <w:rFonts w:cs="Calibri"/>
          <w:bCs/>
          <w:i/>
          <w:iCs/>
          <w:color w:val="0070C0"/>
          <w:u w:val="single"/>
        </w:rPr>
        <w:t xml:space="preserve">Servizi di welfare territoriale </w:t>
      </w:r>
      <w:r>
        <w:rPr>
          <w:rFonts w:cs="Calibri"/>
          <w:bCs/>
          <w:i/>
          <w:iCs/>
          <w:u w:val="single"/>
        </w:rPr>
        <w:t xml:space="preserve">(OS h e </w:t>
      </w:r>
      <w:r w:rsidR="001C7D20">
        <w:rPr>
          <w:rFonts w:cs="Calibri"/>
          <w:bCs/>
          <w:i/>
          <w:iCs/>
          <w:u w:val="single"/>
        </w:rPr>
        <w:t>k)</w:t>
      </w:r>
      <w:r w:rsidR="001C7D20">
        <w:rPr>
          <w:rFonts w:cs="Calibri"/>
          <w:bCs/>
        </w:rPr>
        <w:t xml:space="preserve"> si</w:t>
      </w:r>
      <w:r>
        <w:rPr>
          <w:rFonts w:cs="Calibri"/>
          <w:bCs/>
        </w:rPr>
        <w:t xml:space="preserve"> prevedono:</w:t>
      </w:r>
    </w:p>
    <w:p w14:paraId="79161BED" w14:textId="77777777" w:rsidR="0057704A" w:rsidRDefault="004A66A7">
      <w:pPr>
        <w:pStyle w:val="Paragrafoelenco"/>
        <w:numPr>
          <w:ilvl w:val="0"/>
          <w:numId w:val="54"/>
        </w:numPr>
        <w:spacing w:after="0" w:line="240" w:lineRule="auto"/>
        <w:jc w:val="both"/>
      </w:pPr>
      <w:r>
        <w:rPr>
          <w:lang w:eastAsia="it-IT"/>
        </w:rPr>
        <w:t xml:space="preserve">sviluppo di servizi </w:t>
      </w:r>
      <w:r>
        <w:rPr>
          <w:rFonts w:cs="Calibri"/>
          <w:b/>
        </w:rPr>
        <w:t>di welfare di prossimità</w:t>
      </w:r>
      <w:r>
        <w:rPr>
          <w:lang w:eastAsia="it-IT"/>
        </w:rPr>
        <w:t xml:space="preserve"> </w:t>
      </w:r>
      <w:r>
        <w:rPr>
          <w:rFonts w:cs="Calibri"/>
          <w:bCs/>
        </w:rPr>
        <w:t xml:space="preserve">anche attraverso il modello delle </w:t>
      </w:r>
      <w:r>
        <w:rPr>
          <w:rFonts w:cs="Calibri"/>
          <w:b/>
        </w:rPr>
        <w:t>cooperative di comunità</w:t>
      </w:r>
      <w:r>
        <w:rPr>
          <w:rFonts w:cs="Calibri"/>
          <w:bCs/>
        </w:rPr>
        <w:t>;</w:t>
      </w:r>
    </w:p>
    <w:p w14:paraId="79161BEE" w14:textId="77777777" w:rsidR="0057704A" w:rsidRDefault="004A66A7">
      <w:pPr>
        <w:pStyle w:val="Paragrafoelenco"/>
        <w:numPr>
          <w:ilvl w:val="0"/>
          <w:numId w:val="35"/>
        </w:numPr>
        <w:spacing w:after="0" w:line="240" w:lineRule="auto"/>
        <w:jc w:val="both"/>
      </w:pPr>
      <w:r>
        <w:rPr>
          <w:rFonts w:cs="Calibri"/>
          <w:bCs/>
        </w:rPr>
        <w:t>interventi per favorire l’accesso ai s</w:t>
      </w:r>
      <w:r>
        <w:rPr>
          <w:rFonts w:cs="Calibri"/>
          <w:b/>
        </w:rPr>
        <w:t xml:space="preserve">ervizi multidimensionali </w:t>
      </w:r>
      <w:r>
        <w:rPr>
          <w:rFonts w:cs="Calibri"/>
          <w:bCs/>
        </w:rPr>
        <w:t>attraverso la creazione di sportelli unici territoriali;</w:t>
      </w:r>
    </w:p>
    <w:p w14:paraId="79161BEF" w14:textId="5468BBE2" w:rsidR="0057704A" w:rsidRDefault="004A66A7">
      <w:pPr>
        <w:pStyle w:val="Paragrafoelenco"/>
        <w:numPr>
          <w:ilvl w:val="0"/>
          <w:numId w:val="35"/>
        </w:numPr>
        <w:spacing w:after="0" w:line="240" w:lineRule="auto"/>
        <w:jc w:val="both"/>
      </w:pPr>
      <w:r>
        <w:rPr>
          <w:rFonts w:cs="Calibri"/>
          <w:bCs/>
        </w:rPr>
        <w:t xml:space="preserve">l’incremento di  </w:t>
      </w:r>
      <w:r>
        <w:rPr>
          <w:rFonts w:cs="Calibri"/>
          <w:b/>
        </w:rPr>
        <w:t>servizi innovativi nelle aree urbane,</w:t>
      </w:r>
      <w:r>
        <w:rPr>
          <w:rFonts w:cs="Calibri"/>
          <w:bCs/>
        </w:rPr>
        <w:t xml:space="preserve"> per promuovere la partecipazione dei cittadini allo sviluppo e al rilancio dei quartieri attraverso </w:t>
      </w:r>
      <w:r>
        <w:rPr>
          <w:rFonts w:cs="Calibri"/>
          <w:b/>
        </w:rPr>
        <w:t>processi collaborativi</w:t>
      </w:r>
      <w:r>
        <w:rPr>
          <w:rFonts w:cs="Calibri"/>
          <w:bCs/>
        </w:rPr>
        <w:t xml:space="preserve"> </w:t>
      </w:r>
      <w:r>
        <w:rPr>
          <w:rFonts w:cs="Calibri"/>
          <w:b/>
        </w:rPr>
        <w:t>che</w:t>
      </w:r>
      <w:r>
        <w:rPr>
          <w:rFonts w:cs="Calibri"/>
          <w:bCs/>
        </w:rPr>
        <w:t xml:space="preserve"> </w:t>
      </w:r>
      <w:proofErr w:type="spellStart"/>
      <w:r w:rsidR="00990791">
        <w:rPr>
          <w:rFonts w:cs="Calibri"/>
          <w:b/>
        </w:rPr>
        <w:t>agisc</w:t>
      </w:r>
      <w:r w:rsidR="00C57CCC">
        <w:rPr>
          <w:rFonts w:cs="Calibri"/>
          <w:b/>
        </w:rPr>
        <w:t>ono</w:t>
      </w:r>
      <w:proofErr w:type="spellEnd"/>
      <w:r>
        <w:rPr>
          <w:rFonts w:cs="Calibri"/>
          <w:b/>
        </w:rPr>
        <w:t xml:space="preserve"> sulla domanda di innovazione</w:t>
      </w:r>
      <w:r>
        <w:rPr>
          <w:rFonts w:cs="Calibri"/>
          <w:bCs/>
        </w:rPr>
        <w:t>, sulla generazione di idee, sulla creazione di ecosistemi territoriali fertili e, nel contempo, facilitino la sperimentazione di servizi e/o prodotti innovativi  e di modelli di welfare territoriale (il portierato sociale, il maggiordomo di quartiere e i laboratori sociali di quartiere che offrono anche occasioni formative e accesso ai servizi per il lavoro).</w:t>
      </w:r>
    </w:p>
    <w:p w14:paraId="79161BF0" w14:textId="77777777" w:rsidR="0057704A" w:rsidRDefault="0057704A">
      <w:pPr>
        <w:pStyle w:val="Standard"/>
        <w:spacing w:after="0" w:line="240" w:lineRule="auto"/>
        <w:jc w:val="both"/>
        <w:rPr>
          <w:rFonts w:cs="Calibri"/>
          <w:bCs/>
        </w:rPr>
      </w:pPr>
    </w:p>
    <w:p w14:paraId="79161BF1" w14:textId="5EA8BE27" w:rsidR="0057704A" w:rsidRDefault="004A66A7">
      <w:pPr>
        <w:pStyle w:val="Standard"/>
        <w:spacing w:after="0" w:line="240" w:lineRule="auto"/>
        <w:jc w:val="both"/>
      </w:pPr>
      <w:r>
        <w:rPr>
          <w:rFonts w:cs="Calibri"/>
          <w:bCs/>
        </w:rPr>
        <w:t xml:space="preserve">Nell’ambito dei </w:t>
      </w:r>
      <w:r>
        <w:rPr>
          <w:rFonts w:cs="Calibri"/>
          <w:b/>
          <w:i/>
          <w:iCs/>
          <w:color w:val="0070C0"/>
        </w:rPr>
        <w:t xml:space="preserve">Modelli sinergici di inclusione sociale e/o lavorativa, realizzati anche in collaborazione con </w:t>
      </w:r>
      <w:r w:rsidR="00813509">
        <w:rPr>
          <w:rFonts w:cs="Calibri"/>
          <w:b/>
          <w:i/>
          <w:iCs/>
          <w:color w:val="0070C0"/>
        </w:rPr>
        <w:t>ETS</w:t>
      </w:r>
      <w:r w:rsidR="00813509" w:rsidRPr="00813509">
        <w:rPr>
          <w:rFonts w:cs="Calibri"/>
          <w:b/>
          <w:i/>
          <w:iCs/>
        </w:rPr>
        <w:t xml:space="preserve"> è</w:t>
      </w:r>
      <w:r>
        <w:rPr>
          <w:rFonts w:cs="Calibri"/>
          <w:bCs/>
        </w:rPr>
        <w:t xml:space="preserve"> possibile individuare </w:t>
      </w:r>
      <w:r>
        <w:rPr>
          <w:rFonts w:cs="Calibri"/>
          <w:bCs/>
          <w:u w:val="single"/>
        </w:rPr>
        <w:t>Servizi dedicati a target specifici, (OS k)</w:t>
      </w:r>
      <w:r>
        <w:rPr>
          <w:rFonts w:cs="Calibri"/>
          <w:bCs/>
        </w:rPr>
        <w:t xml:space="preserve"> tra cui ad esempio:</w:t>
      </w:r>
    </w:p>
    <w:p w14:paraId="79161BF2" w14:textId="77777777" w:rsidR="0057704A" w:rsidRDefault="004A66A7">
      <w:pPr>
        <w:pStyle w:val="Paragrafoelenco"/>
        <w:numPr>
          <w:ilvl w:val="0"/>
          <w:numId w:val="55"/>
        </w:numPr>
        <w:spacing w:after="0" w:line="240" w:lineRule="auto"/>
        <w:jc w:val="both"/>
      </w:pPr>
      <w:r>
        <w:rPr>
          <w:rFonts w:cs="Calibri"/>
          <w:bCs/>
        </w:rPr>
        <w:t xml:space="preserve"> Azioni innovative dedicate ai </w:t>
      </w:r>
      <w:r>
        <w:rPr>
          <w:rFonts w:cs="Calibri"/>
          <w:b/>
        </w:rPr>
        <w:t>giovani</w:t>
      </w:r>
      <w:r>
        <w:rPr>
          <w:rFonts w:cs="Calibri"/>
          <w:bCs/>
        </w:rPr>
        <w:t xml:space="preserve"> per la prevenzione e riduzione del disagio psichico, anche mediante l’introduzione di nuove figure professionali, non solo in contesti sanitari/patologici, ma in quelli ordinari di vita, lavoro, scuola, tempo libero</w:t>
      </w:r>
      <w:r>
        <w:t>;</w:t>
      </w:r>
    </w:p>
    <w:p w14:paraId="79161BF3" w14:textId="77777777" w:rsidR="0057704A" w:rsidRDefault="004A66A7">
      <w:pPr>
        <w:pStyle w:val="Paragrafoelenco"/>
        <w:numPr>
          <w:ilvl w:val="0"/>
          <w:numId w:val="36"/>
        </w:numPr>
        <w:spacing w:after="0" w:line="240" w:lineRule="auto"/>
        <w:jc w:val="both"/>
      </w:pPr>
      <w:r>
        <w:lastRenderedPageBreak/>
        <w:t xml:space="preserve">interventi specifici per i </w:t>
      </w:r>
      <w:r>
        <w:rPr>
          <w:rFonts w:cs="Calibri"/>
          <w:b/>
        </w:rPr>
        <w:t>nuclei familiari multiproblematici e le persone particolarmente svantaggiate</w:t>
      </w:r>
      <w:r>
        <w:rPr>
          <w:rFonts w:cs="Calibri"/>
          <w:bCs/>
        </w:rPr>
        <w:t xml:space="preserve"> (misure di riattivazione sociale, che offrano servizi innovativi e personalizzati di sostegno per il superamento di condizioni di crisi);</w:t>
      </w:r>
    </w:p>
    <w:p w14:paraId="79161BF4" w14:textId="77777777" w:rsidR="0057704A" w:rsidRDefault="004A66A7">
      <w:pPr>
        <w:pStyle w:val="Paragrafoelenco"/>
        <w:numPr>
          <w:ilvl w:val="0"/>
          <w:numId w:val="36"/>
        </w:numPr>
        <w:spacing w:after="0" w:line="240" w:lineRule="auto"/>
        <w:jc w:val="both"/>
      </w:pPr>
      <w:r>
        <w:rPr>
          <w:rFonts w:cs="Calibri"/>
          <w:bCs/>
        </w:rPr>
        <w:t>servizi</w:t>
      </w:r>
      <w:r>
        <w:rPr>
          <w:rFonts w:cs="Calibri"/>
          <w:b/>
        </w:rPr>
        <w:t xml:space="preserve"> integrati e personalizzati di formazione e inserimento</w:t>
      </w:r>
      <w:r>
        <w:rPr>
          <w:rFonts w:cs="Calibri"/>
          <w:bCs/>
        </w:rPr>
        <w:t xml:space="preserve"> nel </w:t>
      </w:r>
      <w:proofErr w:type="spellStart"/>
      <w:r>
        <w:rPr>
          <w:rFonts w:cs="Calibri"/>
          <w:bCs/>
        </w:rPr>
        <w:t>Mdl</w:t>
      </w:r>
      <w:proofErr w:type="spellEnd"/>
      <w:r>
        <w:rPr>
          <w:rFonts w:cs="Calibri"/>
          <w:bCs/>
        </w:rPr>
        <w:t xml:space="preserve"> rivolto a target particolarmente svantaggiati, come i giovani che vivono fuori dalla famiglia di origine sulla base di un provvedimento dell’autorità giudiziaria;</w:t>
      </w:r>
    </w:p>
    <w:p w14:paraId="79161BF5" w14:textId="3C0F6A7E" w:rsidR="0057704A" w:rsidRDefault="004A66A7">
      <w:pPr>
        <w:pStyle w:val="Paragrafoelenco"/>
        <w:numPr>
          <w:ilvl w:val="0"/>
          <w:numId w:val="36"/>
        </w:numPr>
        <w:spacing w:after="0" w:line="240" w:lineRule="auto"/>
        <w:jc w:val="both"/>
      </w:pPr>
      <w:r>
        <w:rPr>
          <w:rFonts w:cs="Calibri"/>
          <w:bCs/>
        </w:rPr>
        <w:t xml:space="preserve"> iniziative da realizzare in una </w:t>
      </w:r>
      <w:r>
        <w:rPr>
          <w:rFonts w:cs="Calibri"/>
          <w:b/>
        </w:rPr>
        <w:t>logica di sussidiarietà, di partnership e di progettazione integrata</w:t>
      </w:r>
      <w:r>
        <w:rPr>
          <w:rFonts w:cs="Calibri"/>
          <w:bCs/>
          <w:i/>
          <w:iCs/>
        </w:rPr>
        <w:t xml:space="preserve"> (</w:t>
      </w:r>
      <w:r>
        <w:rPr>
          <w:rFonts w:cs="Calibri"/>
          <w:bCs/>
        </w:rPr>
        <w:t xml:space="preserve">azioni per la promozione dei corretti stili di vita attraverso la pratica </w:t>
      </w:r>
      <w:r w:rsidR="00FD79F3">
        <w:rPr>
          <w:rFonts w:cs="Calibri"/>
          <w:bCs/>
        </w:rPr>
        <w:t>sportiva, azioni</w:t>
      </w:r>
      <w:r>
        <w:rPr>
          <w:rFonts w:cs="Calibri"/>
          <w:bCs/>
        </w:rPr>
        <w:t xml:space="preserve"> dedicate ai ragazzi con disabilità e quelli provenienti da nuclei familiari in condizione di fragilità anche in collaborazione con il CPO).</w:t>
      </w:r>
    </w:p>
    <w:p w14:paraId="79161BF6" w14:textId="0225D2D8" w:rsidR="0057704A" w:rsidRDefault="004A66A7">
      <w:pPr>
        <w:pStyle w:val="Standard"/>
        <w:spacing w:after="0" w:line="240" w:lineRule="auto"/>
        <w:jc w:val="both"/>
      </w:pPr>
      <w:r>
        <w:rPr>
          <w:rFonts w:cs="Calibri"/>
          <w:bCs/>
        </w:rPr>
        <w:t xml:space="preserve">Particolare attenzione è stata dedicata alla </w:t>
      </w:r>
      <w:r>
        <w:rPr>
          <w:rFonts w:cs="Calibri"/>
          <w:b/>
          <w:color w:val="0070C0"/>
        </w:rPr>
        <w:t xml:space="preserve">promozione dell’economia sociale </w:t>
      </w:r>
      <w:r>
        <w:rPr>
          <w:rFonts w:cs="Calibri"/>
          <w:bCs/>
        </w:rPr>
        <w:t>(OS k, h)</w:t>
      </w:r>
      <w:r>
        <w:rPr>
          <w:rFonts w:cs="Calibri"/>
          <w:b/>
        </w:rPr>
        <w:t xml:space="preserve"> </w:t>
      </w:r>
      <w:r>
        <w:rPr>
          <w:rFonts w:cs="Calibri"/>
          <w:bCs/>
        </w:rPr>
        <w:t xml:space="preserve">nell’ottica di sostenere e diffondere modelli capaci di intercettare e rispondere ai nuovi bisogni della collettività, mediante processi di sviluppo innovativi e sostenibili, per l’inclusione </w:t>
      </w:r>
      <w:r w:rsidR="00FD79F3">
        <w:rPr>
          <w:rFonts w:cs="Calibri"/>
          <w:bCs/>
        </w:rPr>
        <w:t>socioeconomica</w:t>
      </w:r>
      <w:r>
        <w:rPr>
          <w:rFonts w:cs="Calibri"/>
          <w:bCs/>
        </w:rPr>
        <w:t xml:space="preserve"> e lavorativa di soggetti in condizioni di svantaggio o a rischio di esclusione sociale. </w:t>
      </w:r>
      <w:r w:rsidR="00FD79F3">
        <w:rPr>
          <w:rFonts w:cs="Calibri"/>
          <w:bCs/>
        </w:rPr>
        <w:t>In particolare,</w:t>
      </w:r>
      <w:r>
        <w:rPr>
          <w:rFonts w:cs="Calibri"/>
          <w:bCs/>
        </w:rPr>
        <w:t xml:space="preserve"> si prevede il sostegno a:</w:t>
      </w:r>
    </w:p>
    <w:p w14:paraId="79161BF7" w14:textId="7647D3C6" w:rsidR="0057704A" w:rsidRDefault="004A66A7">
      <w:pPr>
        <w:pStyle w:val="Paragrafoelenco"/>
        <w:numPr>
          <w:ilvl w:val="0"/>
          <w:numId w:val="56"/>
        </w:numPr>
        <w:spacing w:after="0" w:line="240" w:lineRule="auto"/>
        <w:jc w:val="both"/>
      </w:pPr>
      <w:r>
        <w:rPr>
          <w:rFonts w:cs="Calibri"/>
          <w:b/>
        </w:rPr>
        <w:t>progetti di imprenditorialità sociale</w:t>
      </w:r>
      <w:r>
        <w:rPr>
          <w:rFonts w:cs="Calibri"/>
          <w:bCs/>
        </w:rPr>
        <w:t xml:space="preserve">, anche attraverso la co-programmazione e co-progettazione </w:t>
      </w:r>
      <w:r w:rsidR="00FD79F3">
        <w:rPr>
          <w:rFonts w:cs="Calibri"/>
          <w:bCs/>
        </w:rPr>
        <w:t>di servizi</w:t>
      </w:r>
      <w:r>
        <w:rPr>
          <w:rFonts w:cs="Calibri"/>
          <w:bCs/>
        </w:rPr>
        <w:t xml:space="preserve"> sperimentali anche attraverso l’uso collettivo di beni immobili, pubblici e/o privati;</w:t>
      </w:r>
    </w:p>
    <w:p w14:paraId="79161BF8" w14:textId="77777777" w:rsidR="0057704A" w:rsidRDefault="004A66A7">
      <w:pPr>
        <w:pStyle w:val="Paragrafoelenco"/>
        <w:numPr>
          <w:ilvl w:val="0"/>
          <w:numId w:val="37"/>
        </w:numPr>
        <w:spacing w:after="0" w:line="240" w:lineRule="auto"/>
        <w:jc w:val="both"/>
      </w:pPr>
      <w:r>
        <w:rPr>
          <w:rFonts w:cs="Calibri"/>
          <w:bCs/>
        </w:rPr>
        <w:t xml:space="preserve">progetti sperimentali per lo </w:t>
      </w:r>
      <w:r>
        <w:rPr>
          <w:rFonts w:cs="Calibri"/>
          <w:b/>
        </w:rPr>
        <w:t>start up ed il consolidamento di Enti del Terzo Settore ed imprese</w:t>
      </w:r>
      <w:r>
        <w:rPr>
          <w:rFonts w:cs="Calibri"/>
          <w:bCs/>
        </w:rPr>
        <w:t xml:space="preserve"> mediante </w:t>
      </w:r>
      <w:r>
        <w:rPr>
          <w:rFonts w:cs="Calibri"/>
          <w:b/>
        </w:rPr>
        <w:t>forme innovative di partecipazione attiva</w:t>
      </w:r>
      <w:r>
        <w:rPr>
          <w:rFonts w:cs="Calibri"/>
          <w:bCs/>
        </w:rPr>
        <w:t xml:space="preserve"> quali le cooperative di comunità;</w:t>
      </w:r>
    </w:p>
    <w:p w14:paraId="79161BF9" w14:textId="77777777" w:rsidR="0057704A" w:rsidRDefault="004A66A7">
      <w:pPr>
        <w:pStyle w:val="Paragrafoelenco"/>
        <w:numPr>
          <w:ilvl w:val="0"/>
          <w:numId w:val="37"/>
        </w:numPr>
        <w:spacing w:after="0" w:line="240" w:lineRule="auto"/>
        <w:jc w:val="both"/>
      </w:pPr>
      <w:r>
        <w:rPr>
          <w:rFonts w:cs="Calibri"/>
          <w:bCs/>
        </w:rPr>
        <w:t xml:space="preserve">creazione di </w:t>
      </w:r>
      <w:r>
        <w:rPr>
          <w:rFonts w:cs="Calibri"/>
          <w:b/>
        </w:rPr>
        <w:t>Hub di innovazione sociale</w:t>
      </w:r>
      <w:r>
        <w:rPr>
          <w:rFonts w:cs="Calibri"/>
          <w:bCs/>
        </w:rPr>
        <w:t xml:space="preserve"> e </w:t>
      </w:r>
      <w:r>
        <w:rPr>
          <w:rFonts w:cs="Calibri"/>
          <w:b/>
        </w:rPr>
        <w:t>costituzione di reti</w:t>
      </w:r>
      <w:r>
        <w:rPr>
          <w:rFonts w:cs="Calibri"/>
          <w:bCs/>
        </w:rPr>
        <w:t xml:space="preserve">, per la realizzazione di progetti capaci di produrre benessere sociale o fondati sui </w:t>
      </w:r>
      <w:r>
        <w:rPr>
          <w:rFonts w:cs="Calibri"/>
          <w:b/>
        </w:rPr>
        <w:t>paradigmi dell’economia circolare</w:t>
      </w:r>
      <w:r>
        <w:rPr>
          <w:rFonts w:cs="Calibri"/>
          <w:bCs/>
        </w:rPr>
        <w:t>.</w:t>
      </w:r>
    </w:p>
    <w:p w14:paraId="79161BFA" w14:textId="77777777" w:rsidR="0057704A" w:rsidRDefault="0057704A">
      <w:pPr>
        <w:pStyle w:val="Paragrafoelenco"/>
        <w:spacing w:after="0" w:line="240" w:lineRule="auto"/>
        <w:jc w:val="both"/>
        <w:rPr>
          <w:rFonts w:cs="Calibri"/>
          <w:bCs/>
        </w:rPr>
      </w:pPr>
    </w:p>
    <w:p w14:paraId="79161BFB" w14:textId="1F1B12B0" w:rsidR="0057704A" w:rsidRDefault="004A66A7">
      <w:pPr>
        <w:pStyle w:val="Standard"/>
        <w:spacing w:after="0" w:line="240" w:lineRule="auto"/>
        <w:jc w:val="both"/>
      </w:pPr>
      <w:r>
        <w:rPr>
          <w:rFonts w:cs="Calibri"/>
        </w:rPr>
        <w:t xml:space="preserve">Non mancano gli </w:t>
      </w:r>
      <w:r>
        <w:rPr>
          <w:rFonts w:cs="Calibri"/>
          <w:b/>
          <w:i/>
          <w:iCs/>
          <w:color w:val="0070C0"/>
        </w:rPr>
        <w:t>Interventi per l’innovazione del sistema dei servizi sociali</w:t>
      </w:r>
      <w:r>
        <w:rPr>
          <w:rFonts w:cs="Calibri"/>
        </w:rPr>
        <w:t xml:space="preserve"> (OS K) </w:t>
      </w:r>
      <w:r>
        <w:rPr>
          <w:rFonts w:cs="Calibri"/>
          <w:bCs/>
        </w:rPr>
        <w:t xml:space="preserve">che saranno sostenuti mediante il </w:t>
      </w:r>
      <w:r>
        <w:rPr>
          <w:rFonts w:cs="Calibri"/>
          <w:b/>
        </w:rPr>
        <w:t>potenziamento, la riqualificazione e l’accesso ai servizi socioassistenziali</w:t>
      </w:r>
      <w:r>
        <w:rPr>
          <w:rFonts w:cs="Calibri"/>
          <w:bCs/>
        </w:rPr>
        <w:t xml:space="preserve">, finanziando ad esempio misure formative e di accompagnamento per la qualificazione delle competenze degli operatori, per innovare e qualificare la progettazione e </w:t>
      </w:r>
      <w:r w:rsidR="00FD79F3">
        <w:rPr>
          <w:rFonts w:cs="Calibri"/>
          <w:bCs/>
        </w:rPr>
        <w:t>l’erogazione</w:t>
      </w:r>
      <w:r>
        <w:rPr>
          <w:rFonts w:cs="Calibri"/>
          <w:bCs/>
        </w:rPr>
        <w:t xml:space="preserve"> dei servizi e renderli rispondenti ai nuovi bisogni delle persone.</w:t>
      </w:r>
    </w:p>
    <w:p w14:paraId="79161BFC" w14:textId="77777777" w:rsidR="0057704A" w:rsidRDefault="004A66A7">
      <w:pPr>
        <w:pStyle w:val="Standard"/>
        <w:spacing w:after="0" w:line="240" w:lineRule="auto"/>
        <w:jc w:val="both"/>
      </w:pPr>
      <w:r>
        <w:rPr>
          <w:rFonts w:cs="Calibri"/>
          <w:bCs/>
        </w:rPr>
        <w:t xml:space="preserve">Da un punto di vista più di metodo, sono previsti interventi di sostegno per la costruzione </w:t>
      </w:r>
      <w:r>
        <w:rPr>
          <w:rFonts w:cs="Calibri"/>
          <w:b/>
          <w:i/>
          <w:iCs/>
          <w:color w:val="0070C0"/>
        </w:rPr>
        <w:t xml:space="preserve">Reti e collaborazioni per l’innovazione </w:t>
      </w:r>
      <w:r>
        <w:rPr>
          <w:rFonts w:cs="Calibri"/>
          <w:bCs/>
        </w:rPr>
        <w:t>(OS K, h, l) che prevedono la progettazione e implementazione di modelli innovativi fondati  sulla valorizzazione del ruolo delle imprese sociali e del terzo settore per contrastare le disparità territoriali e sulla diffusione delle pratiche di co-programmazione e di co-progettazione degli interventi anche al fine di consentire la co-ideazione di interventi sperimentali attraverso il riconoscimento e la valorizzazione di esperienze di attivazione dal basso già esistenti.</w:t>
      </w:r>
    </w:p>
    <w:p w14:paraId="79161BFD" w14:textId="77777777" w:rsidR="0057704A" w:rsidRDefault="004A66A7">
      <w:pPr>
        <w:pStyle w:val="Standard"/>
        <w:spacing w:after="0" w:line="240" w:lineRule="auto"/>
        <w:jc w:val="both"/>
      </w:pPr>
      <w:r>
        <w:rPr>
          <w:rFonts w:cs="Calibri"/>
          <w:bCs/>
        </w:rPr>
        <w:t>Nell’ambito della</w:t>
      </w:r>
      <w:r>
        <w:rPr>
          <w:rFonts w:cs="Calibri"/>
          <w:b/>
        </w:rPr>
        <w:t xml:space="preserve"> </w:t>
      </w:r>
      <w:r>
        <w:rPr>
          <w:rFonts w:cs="Calibri"/>
          <w:b/>
          <w:i/>
          <w:iCs/>
          <w:color w:val="0070C0"/>
        </w:rPr>
        <w:t>Formazione e sviluppo di competenze per l’innovazione sociale e lo sviluppo locale</w:t>
      </w:r>
      <w:r>
        <w:rPr>
          <w:rFonts w:cs="Calibri"/>
          <w:bCs/>
          <w:color w:val="0070C0"/>
        </w:rPr>
        <w:t xml:space="preserve"> (</w:t>
      </w:r>
      <w:r>
        <w:rPr>
          <w:rFonts w:cs="Calibri"/>
          <w:bCs/>
        </w:rPr>
        <w:t>OS h e k)  specifica attenzione è stata dedicata alla formazione di</w:t>
      </w:r>
      <w:r>
        <w:rPr>
          <w:rFonts w:cs="Calibri"/>
          <w:b/>
        </w:rPr>
        <w:t xml:space="preserve"> figure con un’alta specializzazione tecnica</w:t>
      </w:r>
      <w:r>
        <w:rPr>
          <w:rFonts w:cs="Calibri"/>
          <w:bCs/>
        </w:rPr>
        <w:t xml:space="preserve">,  </w:t>
      </w:r>
      <w:r>
        <w:rPr>
          <w:rFonts w:cs="Calibri"/>
          <w:b/>
        </w:rPr>
        <w:t>capaci di innovare il sistema complessivo</w:t>
      </w:r>
      <w:r>
        <w:rPr>
          <w:rFonts w:cs="Calibri"/>
          <w:bCs/>
        </w:rPr>
        <w:t xml:space="preserve"> promuovendo una cultura inclusiva e </w:t>
      </w:r>
      <w:proofErr w:type="spellStart"/>
      <w:r>
        <w:rPr>
          <w:rFonts w:cs="Calibri"/>
          <w:bCs/>
        </w:rPr>
        <w:t>disability</w:t>
      </w:r>
      <w:proofErr w:type="spellEnd"/>
      <w:r>
        <w:rPr>
          <w:rFonts w:cs="Calibri"/>
          <w:bCs/>
        </w:rPr>
        <w:t xml:space="preserve"> friendly nei contesti lavorativi, nonché al</w:t>
      </w:r>
      <w:r>
        <w:t xml:space="preserve"> </w:t>
      </w:r>
      <w:r>
        <w:rPr>
          <w:rFonts w:cs="Calibri"/>
          <w:bCs/>
        </w:rPr>
        <w:t xml:space="preserve">rafforzamento delle competenze e alla riqualificazione del personale impiegato nell’erogazione dei servizi di welfare territoriale, con particolare riferimento all’uso delle tecnologie digitali e alla promozione della </w:t>
      </w:r>
      <w:r>
        <w:rPr>
          <w:rFonts w:cs="Calibri"/>
          <w:b/>
        </w:rPr>
        <w:t xml:space="preserve">cittadinanza digitale. </w:t>
      </w:r>
      <w:r>
        <w:rPr>
          <w:rFonts w:cs="Calibri"/>
          <w:bCs/>
        </w:rPr>
        <w:t xml:space="preserve">Nell’ottica dello sviluppo locale </w:t>
      </w:r>
      <w:r>
        <w:t>saranno sostenuti, anche con interventi formativi, progetti integrati di comunità rivolti a gruppi di beneficiari pubblici e/o privati a livello locale, capaci di sfruttare le soluzioni offerte dalle tecnologie digitali, per l'introduzione di approcci innovativi (organizzativi, di processo, prodotto, sociale), per lo sviluppo dell'economia circolare e inclusiva in vari set-tori (</w:t>
      </w:r>
      <w:r>
        <w:rPr>
          <w:i/>
          <w:iCs/>
        </w:rPr>
        <w:t xml:space="preserve">smart </w:t>
      </w:r>
      <w:proofErr w:type="spellStart"/>
      <w:r>
        <w:rPr>
          <w:i/>
          <w:iCs/>
        </w:rPr>
        <w:t>village</w:t>
      </w:r>
      <w:proofErr w:type="spellEnd"/>
      <w:r>
        <w:t>).</w:t>
      </w:r>
    </w:p>
    <w:p w14:paraId="79161BFE" w14:textId="77777777" w:rsidR="0057704A" w:rsidRDefault="0057704A">
      <w:pPr>
        <w:pStyle w:val="Standard"/>
        <w:spacing w:after="0" w:line="240" w:lineRule="auto"/>
        <w:jc w:val="both"/>
        <w:rPr>
          <w:rFonts w:cs="Calibri"/>
          <w:bCs/>
        </w:rPr>
      </w:pPr>
    </w:p>
    <w:p w14:paraId="79161BFF" w14:textId="55BFC0A2" w:rsidR="0057704A" w:rsidRDefault="004A66A7">
      <w:pPr>
        <w:pStyle w:val="Standard"/>
        <w:spacing w:after="0" w:line="240" w:lineRule="auto"/>
        <w:jc w:val="both"/>
      </w:pPr>
      <w:r>
        <w:rPr>
          <w:rFonts w:cs="Calibri"/>
          <w:bCs/>
        </w:rPr>
        <w:t xml:space="preserve">Molto diffusi gli interventi per finanziare </w:t>
      </w:r>
      <w:r>
        <w:rPr>
          <w:rFonts w:cs="Calibri"/>
          <w:b/>
          <w:i/>
          <w:iCs/>
          <w:color w:val="0070C0"/>
        </w:rPr>
        <w:t xml:space="preserve">Modelli innovativi di utilizzo del patrimonio pubblico e </w:t>
      </w:r>
      <w:r w:rsidR="00FD79F3">
        <w:rPr>
          <w:rFonts w:cs="Calibri"/>
          <w:b/>
          <w:i/>
          <w:iCs/>
          <w:color w:val="0070C0"/>
        </w:rPr>
        <w:t>privato</w:t>
      </w:r>
      <w:r w:rsidR="00FD79F3">
        <w:rPr>
          <w:rFonts w:cs="Calibri"/>
          <w:b/>
          <w:i/>
          <w:iCs/>
        </w:rPr>
        <w:t xml:space="preserve"> </w:t>
      </w:r>
      <w:r w:rsidR="00FD79F3">
        <w:rPr>
          <w:rFonts w:cs="Calibri"/>
          <w:bCs/>
        </w:rPr>
        <w:t>(</w:t>
      </w:r>
      <w:r>
        <w:rPr>
          <w:rFonts w:cs="Calibri"/>
          <w:bCs/>
        </w:rPr>
        <w:t xml:space="preserve">quasi </w:t>
      </w:r>
      <w:r w:rsidR="00FD79F3">
        <w:rPr>
          <w:rFonts w:cs="Calibri"/>
          <w:bCs/>
        </w:rPr>
        <w:t>totalmente collocati</w:t>
      </w:r>
      <w:r>
        <w:rPr>
          <w:rFonts w:cs="Calibri"/>
          <w:bCs/>
        </w:rPr>
        <w:t xml:space="preserve"> in OS h) finalizzati allo sviluppo </w:t>
      </w:r>
      <w:proofErr w:type="gramStart"/>
      <w:r>
        <w:rPr>
          <w:rFonts w:cs="Calibri"/>
          <w:bCs/>
        </w:rPr>
        <w:t>di</w:t>
      </w:r>
      <w:r>
        <w:rPr>
          <w:rFonts w:cs="Calibri"/>
          <w:b/>
          <w:i/>
          <w:iCs/>
        </w:rPr>
        <w:t xml:space="preserve"> </w:t>
      </w:r>
      <w:r>
        <w:rPr>
          <w:rFonts w:cs="Calibri"/>
          <w:bCs/>
          <w:color w:val="0070C0"/>
        </w:rPr>
        <w:t>:</w:t>
      </w:r>
      <w:proofErr w:type="gramEnd"/>
    </w:p>
    <w:p w14:paraId="79161C00" w14:textId="356B7D40" w:rsidR="0057704A" w:rsidRDefault="004A66A7">
      <w:pPr>
        <w:pStyle w:val="Paragrafoelenco"/>
        <w:numPr>
          <w:ilvl w:val="0"/>
          <w:numId w:val="57"/>
        </w:numPr>
        <w:spacing w:after="0" w:line="240" w:lineRule="auto"/>
        <w:jc w:val="both"/>
      </w:pPr>
      <w:r>
        <w:rPr>
          <w:rFonts w:cs="Calibri"/>
          <w:bCs/>
        </w:rPr>
        <w:t xml:space="preserve">progetti di valorizzazione, recupero e gestione di beni confiscati alla criminalità organizzata in ambito </w:t>
      </w:r>
      <w:r w:rsidR="00FD79F3">
        <w:rPr>
          <w:rFonts w:cs="Calibri"/>
          <w:b/>
        </w:rPr>
        <w:t>socioculturali</w:t>
      </w:r>
      <w:r>
        <w:rPr>
          <w:rFonts w:cs="Calibri"/>
          <w:b/>
        </w:rPr>
        <w:t xml:space="preserve"> e sportivi</w:t>
      </w:r>
      <w:r>
        <w:rPr>
          <w:rFonts w:cs="Calibri"/>
          <w:bCs/>
        </w:rPr>
        <w:t xml:space="preserve">, per il contrasto al </w:t>
      </w:r>
      <w:r>
        <w:rPr>
          <w:rFonts w:cs="Calibri"/>
          <w:b/>
        </w:rPr>
        <w:t>disagio abitativo</w:t>
      </w:r>
      <w:r>
        <w:rPr>
          <w:rFonts w:cs="Calibri"/>
          <w:bCs/>
        </w:rPr>
        <w:t>, anche attraverso forme di partenariato pubblico-privato;</w:t>
      </w:r>
    </w:p>
    <w:p w14:paraId="79161C01" w14:textId="77777777" w:rsidR="0057704A" w:rsidRDefault="004A66A7">
      <w:pPr>
        <w:pStyle w:val="Paragrafoelenco"/>
        <w:numPr>
          <w:ilvl w:val="0"/>
          <w:numId w:val="39"/>
        </w:numPr>
        <w:spacing w:after="0" w:line="240" w:lineRule="auto"/>
        <w:jc w:val="both"/>
      </w:pPr>
      <w:r>
        <w:rPr>
          <w:rFonts w:cs="Calibri"/>
          <w:bCs/>
        </w:rPr>
        <w:t xml:space="preserve">progetti innovativi di </w:t>
      </w:r>
      <w:r>
        <w:rPr>
          <w:rFonts w:cs="Calibri"/>
          <w:b/>
        </w:rPr>
        <w:t>welfare aziendale</w:t>
      </w:r>
      <w:r>
        <w:rPr>
          <w:rFonts w:cs="Calibri"/>
          <w:bCs/>
        </w:rPr>
        <w:t xml:space="preserve"> attraverso la creazione di spazi condivisi di lavoro;</w:t>
      </w:r>
    </w:p>
    <w:p w14:paraId="79161C02" w14:textId="77777777" w:rsidR="0057704A" w:rsidRDefault="004A66A7">
      <w:pPr>
        <w:pStyle w:val="Paragrafoelenco"/>
        <w:numPr>
          <w:ilvl w:val="0"/>
          <w:numId w:val="39"/>
        </w:numPr>
        <w:spacing w:after="0" w:line="240" w:lineRule="auto"/>
        <w:jc w:val="both"/>
      </w:pPr>
      <w:r>
        <w:rPr>
          <w:rFonts w:cs="Calibri"/>
          <w:bCs/>
        </w:rPr>
        <w:t xml:space="preserve">percorsi a carattere </w:t>
      </w:r>
      <w:r>
        <w:rPr>
          <w:rFonts w:cs="Calibri"/>
          <w:b/>
        </w:rPr>
        <w:t xml:space="preserve">sociale diretti al reinserimento lavorativo dei detenuti, </w:t>
      </w:r>
      <w:r>
        <w:rPr>
          <w:rFonts w:cs="Calibri"/>
          <w:bCs/>
        </w:rPr>
        <w:t>all’inclusione d</w:t>
      </w:r>
      <w:r>
        <w:rPr>
          <w:rFonts w:cs="Calibri"/>
          <w:b/>
        </w:rPr>
        <w:t>i minori</w:t>
      </w:r>
      <w:r>
        <w:rPr>
          <w:rFonts w:cs="Calibri"/>
          <w:bCs/>
        </w:rPr>
        <w:t xml:space="preserve"> a rischio di devianza o a sostegno delle </w:t>
      </w:r>
      <w:r>
        <w:rPr>
          <w:rFonts w:cs="Calibri"/>
          <w:b/>
        </w:rPr>
        <w:t>vittime di racket e usura</w:t>
      </w:r>
      <w:r>
        <w:rPr>
          <w:rFonts w:cs="Calibri"/>
          <w:bCs/>
        </w:rPr>
        <w:t>.</w:t>
      </w:r>
    </w:p>
    <w:p w14:paraId="79161C03" w14:textId="77777777" w:rsidR="0057704A" w:rsidRDefault="0057704A">
      <w:pPr>
        <w:pStyle w:val="Standard"/>
        <w:spacing w:after="0" w:line="240" w:lineRule="auto"/>
        <w:ind w:left="48"/>
        <w:jc w:val="both"/>
        <w:rPr>
          <w:rFonts w:cs="Calibri"/>
          <w:b/>
          <w:sz w:val="10"/>
          <w:szCs w:val="10"/>
        </w:rPr>
      </w:pPr>
    </w:p>
    <w:p w14:paraId="79161C04" w14:textId="77777777" w:rsidR="0057704A" w:rsidRDefault="004A66A7">
      <w:pPr>
        <w:pStyle w:val="Standard"/>
        <w:spacing w:after="0" w:line="240" w:lineRule="auto"/>
        <w:ind w:left="48"/>
        <w:jc w:val="both"/>
      </w:pPr>
      <w:r>
        <w:rPr>
          <w:rFonts w:cs="Calibri"/>
          <w:b/>
        </w:rPr>
        <w:lastRenderedPageBreak/>
        <w:t xml:space="preserve">Tra i </w:t>
      </w:r>
      <w:r>
        <w:rPr>
          <w:rFonts w:cs="Calibri"/>
          <w:b/>
          <w:i/>
          <w:iCs/>
          <w:color w:val="0070C0"/>
        </w:rPr>
        <w:t>Servizi a supporto dell’inclusione digitale per favorire l’accesso ai servizi</w:t>
      </w:r>
      <w:r>
        <w:rPr>
          <w:lang w:eastAsia="it-IT"/>
        </w:rPr>
        <w:t xml:space="preserve"> (OS K, l) si individuano in particolare:</w:t>
      </w:r>
    </w:p>
    <w:p w14:paraId="79161C05" w14:textId="77777777" w:rsidR="0057704A" w:rsidRDefault="004A66A7">
      <w:pPr>
        <w:pStyle w:val="Paragrafoelenco"/>
        <w:numPr>
          <w:ilvl w:val="0"/>
          <w:numId w:val="58"/>
        </w:numPr>
        <w:spacing w:after="0" w:line="240" w:lineRule="auto"/>
        <w:jc w:val="both"/>
      </w:pPr>
      <w:r>
        <w:rPr>
          <w:lang w:eastAsia="it-IT"/>
        </w:rPr>
        <w:t xml:space="preserve">gli interventi per favorire </w:t>
      </w:r>
      <w:r>
        <w:rPr>
          <w:b/>
          <w:bCs/>
          <w:lang w:eastAsia="it-IT"/>
        </w:rPr>
        <w:t xml:space="preserve">l’inclusione digitale di persone </w:t>
      </w:r>
      <w:r>
        <w:rPr>
          <w:lang w:eastAsia="it-IT"/>
        </w:rPr>
        <w:t xml:space="preserve">anziane o a </w:t>
      </w:r>
      <w:r>
        <w:rPr>
          <w:b/>
          <w:bCs/>
          <w:lang w:eastAsia="it-IT"/>
        </w:rPr>
        <w:t>rischio di esclusione</w:t>
      </w:r>
      <w:r>
        <w:rPr>
          <w:lang w:eastAsia="it-IT"/>
        </w:rPr>
        <w:t xml:space="preserve"> che si trovano in difficoltà nell’accedere ai servizi, in particolare sociali e sanitari, e nel dotarsi dei nuovi strumenti digitali necessari (ad </w:t>
      </w:r>
      <w:proofErr w:type="spellStart"/>
      <w:r>
        <w:rPr>
          <w:lang w:eastAsia="it-IT"/>
        </w:rPr>
        <w:t>es</w:t>
      </w:r>
      <w:proofErr w:type="spellEnd"/>
      <w:r>
        <w:rPr>
          <w:lang w:eastAsia="it-IT"/>
        </w:rPr>
        <w:t>: spid, app., Qr code, etc.);</w:t>
      </w:r>
    </w:p>
    <w:p w14:paraId="79161C06" w14:textId="77777777" w:rsidR="0057704A" w:rsidRDefault="004A66A7">
      <w:pPr>
        <w:pStyle w:val="Paragrafoelenco"/>
        <w:numPr>
          <w:ilvl w:val="0"/>
          <w:numId w:val="40"/>
        </w:numPr>
        <w:spacing w:after="0" w:line="240" w:lineRule="auto"/>
        <w:jc w:val="both"/>
      </w:pPr>
      <w:r>
        <w:rPr>
          <w:lang w:eastAsia="it-IT"/>
        </w:rPr>
        <w:t xml:space="preserve">le misure di sostegno all’accesso alla </w:t>
      </w:r>
      <w:r>
        <w:rPr>
          <w:b/>
          <w:bCs/>
          <w:lang w:eastAsia="it-IT"/>
        </w:rPr>
        <w:t>didattica digitale</w:t>
      </w:r>
      <w:r>
        <w:rPr>
          <w:lang w:eastAsia="it-IT"/>
        </w:rPr>
        <w:t xml:space="preserve"> con la distribuzione di ‘</w:t>
      </w:r>
      <w:r>
        <w:rPr>
          <w:i/>
          <w:iCs/>
          <w:lang w:eastAsia="it-IT"/>
        </w:rPr>
        <w:t>Pacchetti digitali’</w:t>
      </w:r>
      <w:r>
        <w:rPr>
          <w:lang w:eastAsia="it-IT"/>
        </w:rPr>
        <w:t>.</w:t>
      </w:r>
    </w:p>
    <w:p w14:paraId="79161C07" w14:textId="3EB108E5" w:rsidR="0057704A" w:rsidRDefault="004A66A7">
      <w:pPr>
        <w:pStyle w:val="Standard"/>
        <w:spacing w:after="0" w:line="240" w:lineRule="auto"/>
        <w:jc w:val="both"/>
      </w:pPr>
      <w:r>
        <w:rPr>
          <w:rFonts w:cs="Calibri"/>
          <w:bCs/>
        </w:rPr>
        <w:t>Si conferma la previsione dell’utilizzo degli</w:t>
      </w:r>
      <w:r>
        <w:rPr>
          <w:rFonts w:cs="Calibri"/>
          <w:b/>
        </w:rPr>
        <w:t xml:space="preserve"> </w:t>
      </w:r>
      <w:r>
        <w:rPr>
          <w:rFonts w:cs="Calibri"/>
          <w:b/>
          <w:i/>
          <w:iCs/>
          <w:color w:val="0070C0"/>
        </w:rPr>
        <w:t>strumenti finanziari innovativi (</w:t>
      </w:r>
      <w:r>
        <w:rPr>
          <w:rFonts w:cs="Calibri"/>
          <w:bCs/>
          <w:color w:val="0070C0"/>
        </w:rPr>
        <w:t xml:space="preserve">impact </w:t>
      </w:r>
      <w:proofErr w:type="spellStart"/>
      <w:r>
        <w:rPr>
          <w:rFonts w:cs="Calibri"/>
          <w:bCs/>
          <w:color w:val="0070C0"/>
        </w:rPr>
        <w:t>investing</w:t>
      </w:r>
      <w:proofErr w:type="spellEnd"/>
      <w:r>
        <w:rPr>
          <w:rFonts w:cs="Calibri"/>
          <w:bCs/>
          <w:color w:val="0070C0"/>
        </w:rPr>
        <w:t xml:space="preserve">, </w:t>
      </w:r>
      <w:r w:rsidR="00182F69">
        <w:rPr>
          <w:rFonts w:cs="Calibri"/>
          <w:bCs/>
          <w:color w:val="0070C0"/>
        </w:rPr>
        <w:t>pro-funding</w:t>
      </w:r>
      <w:r>
        <w:rPr>
          <w:rFonts w:cs="Calibri"/>
          <w:bCs/>
          <w:color w:val="0070C0"/>
        </w:rPr>
        <w:t>, microfinanza</w:t>
      </w:r>
      <w:r>
        <w:rPr>
          <w:rFonts w:cs="Calibri"/>
          <w:bCs/>
        </w:rPr>
        <w:t>) (OS h)</w:t>
      </w:r>
      <w:r>
        <w:rPr>
          <w:rFonts w:cs="Calibri"/>
          <w:b/>
          <w:i/>
          <w:iCs/>
          <w:color w:val="0070C0"/>
        </w:rPr>
        <w:t xml:space="preserve"> </w:t>
      </w:r>
      <w:r>
        <w:rPr>
          <w:rFonts w:cs="Calibri"/>
          <w:bCs/>
        </w:rPr>
        <w:t xml:space="preserve">anche al fine di sostenere l’economia e le imprese sociali, incentivando </w:t>
      </w:r>
      <w:r>
        <w:rPr>
          <w:rFonts w:cs="Calibri"/>
          <w:b/>
        </w:rPr>
        <w:t>l’autoimprenditorialità</w:t>
      </w:r>
      <w:r>
        <w:rPr>
          <w:rFonts w:cs="Calibri"/>
          <w:bCs/>
        </w:rPr>
        <w:t xml:space="preserve"> e la creazione di imprese sociali, in particolare a favore delle </w:t>
      </w:r>
      <w:r>
        <w:rPr>
          <w:rFonts w:cs="Calibri"/>
          <w:b/>
        </w:rPr>
        <w:t>persone escluse dal sistema creditizio tradizionale.</w:t>
      </w:r>
    </w:p>
    <w:p w14:paraId="79161C08" w14:textId="77777777" w:rsidR="0057704A" w:rsidRDefault="0057704A">
      <w:pPr>
        <w:pStyle w:val="Standard"/>
        <w:spacing w:after="0" w:line="240" w:lineRule="auto"/>
        <w:jc w:val="both"/>
        <w:rPr>
          <w:rFonts w:cs="Calibri"/>
          <w:b/>
        </w:rPr>
      </w:pPr>
    </w:p>
    <w:p w14:paraId="79161C09" w14:textId="77777777" w:rsidR="0057704A" w:rsidRPr="00182F69" w:rsidRDefault="004A66A7">
      <w:pPr>
        <w:pStyle w:val="Titolo4"/>
        <w:shd w:val="clear" w:color="auto" w:fill="92D050"/>
        <w:spacing w:before="0" w:line="240" w:lineRule="auto"/>
        <w:rPr>
          <w:color w:val="002060"/>
        </w:rPr>
      </w:pPr>
      <w:r w:rsidRPr="00182F69">
        <w:rPr>
          <w:b/>
          <w:bCs/>
          <w:color w:val="002060"/>
          <w:sz w:val="24"/>
          <w:szCs w:val="24"/>
          <w:lang w:eastAsia="it-IT"/>
        </w:rPr>
        <w:t>Priorità Istruzione e Formazione</w:t>
      </w:r>
    </w:p>
    <w:p w14:paraId="79161C0A" w14:textId="43E83C47" w:rsidR="0057704A" w:rsidRDefault="004A66A7">
      <w:pPr>
        <w:pStyle w:val="Standard"/>
        <w:spacing w:after="0" w:line="240" w:lineRule="auto"/>
        <w:jc w:val="both"/>
      </w:pPr>
      <w:r>
        <w:rPr>
          <w:rFonts w:cs="Calibri"/>
          <w:bCs/>
        </w:rPr>
        <w:t xml:space="preserve">Per </w:t>
      </w:r>
      <w:r w:rsidR="00182F69">
        <w:rPr>
          <w:rFonts w:cs="Calibri"/>
          <w:bCs/>
        </w:rPr>
        <w:t xml:space="preserve">implementare </w:t>
      </w:r>
      <w:r w:rsidR="00182F69" w:rsidRPr="00182F69">
        <w:rPr>
          <w:rFonts w:cs="Calibri"/>
          <w:b/>
          <w:i/>
          <w:iCs/>
          <w:color w:val="0070C0"/>
        </w:rPr>
        <w:t>Modelli</w:t>
      </w:r>
      <w:r>
        <w:rPr>
          <w:rFonts w:cs="Calibri"/>
          <w:b/>
          <w:i/>
          <w:iCs/>
          <w:color w:val="0070C0"/>
        </w:rPr>
        <w:t xml:space="preserve"> di apprendimento sperimentale e innovativo, work </w:t>
      </w:r>
      <w:proofErr w:type="spellStart"/>
      <w:r>
        <w:rPr>
          <w:rFonts w:cs="Calibri"/>
          <w:b/>
          <w:i/>
          <w:iCs/>
          <w:color w:val="0070C0"/>
        </w:rPr>
        <w:t>based</w:t>
      </w:r>
      <w:proofErr w:type="spellEnd"/>
      <w:r>
        <w:rPr>
          <w:rFonts w:cs="Calibri"/>
          <w:b/>
          <w:i/>
          <w:iCs/>
          <w:color w:val="0070C0"/>
        </w:rPr>
        <w:t xml:space="preserve"> e di e-</w:t>
      </w:r>
      <w:r w:rsidR="00182F69">
        <w:rPr>
          <w:rFonts w:cs="Calibri"/>
          <w:b/>
          <w:i/>
          <w:iCs/>
          <w:color w:val="0070C0"/>
        </w:rPr>
        <w:t>learning</w:t>
      </w:r>
      <w:r w:rsidR="00182F69">
        <w:rPr>
          <w:rFonts w:cs="Calibri"/>
          <w:b/>
          <w:color w:val="0070C0"/>
        </w:rPr>
        <w:t xml:space="preserve"> </w:t>
      </w:r>
      <w:r w:rsidR="00182F69" w:rsidRPr="00182F69">
        <w:rPr>
          <w:rFonts w:cs="Calibri"/>
          <w:bCs/>
        </w:rPr>
        <w:t>(</w:t>
      </w:r>
      <w:r>
        <w:rPr>
          <w:rFonts w:cs="Calibri"/>
          <w:bCs/>
        </w:rPr>
        <w:t>OS e, f, g) sono previsti:</w:t>
      </w:r>
    </w:p>
    <w:p w14:paraId="79161C0B" w14:textId="77777777" w:rsidR="0057704A" w:rsidRDefault="004A66A7">
      <w:pPr>
        <w:pStyle w:val="Paragrafoelenco"/>
        <w:numPr>
          <w:ilvl w:val="0"/>
          <w:numId w:val="59"/>
        </w:numPr>
        <w:spacing w:after="0" w:line="240" w:lineRule="auto"/>
        <w:jc w:val="both"/>
      </w:pPr>
      <w:r>
        <w:rPr>
          <w:rFonts w:cs="Calibri"/>
        </w:rPr>
        <w:t xml:space="preserve">interventi di </w:t>
      </w:r>
      <w:r>
        <w:rPr>
          <w:rFonts w:cs="Calibri"/>
          <w:b/>
          <w:bCs/>
        </w:rPr>
        <w:t>sperimentazioni innovative sulla didattica</w:t>
      </w:r>
      <w:r>
        <w:rPr>
          <w:rFonts w:cs="Calibri"/>
        </w:rPr>
        <w:t>, anche in sinergia con attività extracurriculari (es. culturali, sportive)</w:t>
      </w:r>
      <w:r>
        <w:rPr>
          <w:rFonts w:cs="Calibri"/>
          <w:sz w:val="18"/>
          <w:szCs w:val="18"/>
        </w:rPr>
        <w:t>,</w:t>
      </w:r>
      <w:r>
        <w:rPr>
          <w:rFonts w:cs="Calibri"/>
          <w:bCs/>
        </w:rPr>
        <w:t xml:space="preserve"> agevolando </w:t>
      </w:r>
      <w:r>
        <w:rPr>
          <w:rFonts w:cs="Calibri"/>
          <w:b/>
        </w:rPr>
        <w:t xml:space="preserve">forme nuove di educazione e di apprendimento </w:t>
      </w:r>
      <w:r>
        <w:rPr>
          <w:rFonts w:cs="Calibri"/>
          <w:bCs/>
        </w:rPr>
        <w:t>che contribuiscono ad evitare dispersione e abbandoni;</w:t>
      </w:r>
    </w:p>
    <w:p w14:paraId="79161C0C" w14:textId="77777777" w:rsidR="0057704A" w:rsidRDefault="004A66A7">
      <w:pPr>
        <w:pStyle w:val="Paragrafoelenco"/>
        <w:numPr>
          <w:ilvl w:val="0"/>
          <w:numId w:val="41"/>
        </w:numPr>
        <w:spacing w:after="0" w:line="240" w:lineRule="auto"/>
        <w:jc w:val="both"/>
      </w:pPr>
      <w:r>
        <w:rPr>
          <w:rFonts w:cs="Calibri"/>
          <w:bCs/>
        </w:rPr>
        <w:t xml:space="preserve">percorsi innovativi (FSE+ - FESR) basati sulla </w:t>
      </w:r>
      <w:r>
        <w:rPr>
          <w:rFonts w:cs="Calibri"/>
          <w:b/>
        </w:rPr>
        <w:t>collaborazione tra mondo della formazione e delle imprese</w:t>
      </w:r>
      <w:r>
        <w:rPr>
          <w:rFonts w:cs="Calibri"/>
          <w:bCs/>
        </w:rPr>
        <w:t xml:space="preserve">, sull’utilizzo delle nuove </w:t>
      </w:r>
      <w:r>
        <w:rPr>
          <w:rFonts w:cs="Calibri"/>
          <w:b/>
        </w:rPr>
        <w:t>tecnologie più avanzate</w:t>
      </w:r>
      <w:r>
        <w:rPr>
          <w:rFonts w:cs="Calibri"/>
          <w:bCs/>
        </w:rPr>
        <w:t xml:space="preserve"> per il rinnovamento delle infrastrutture scolastico-formative e delle </w:t>
      </w:r>
      <w:r>
        <w:rPr>
          <w:rFonts w:cs="Calibri"/>
          <w:b/>
        </w:rPr>
        <w:t>attrezzature didattiche</w:t>
      </w:r>
      <w:r>
        <w:rPr>
          <w:rFonts w:cs="Calibri"/>
          <w:bCs/>
        </w:rPr>
        <w:t>, anche al fine di includere i soggetti con disabilità.</w:t>
      </w:r>
    </w:p>
    <w:p w14:paraId="79161C0D" w14:textId="77777777" w:rsidR="0057704A" w:rsidRDefault="004A66A7">
      <w:pPr>
        <w:pStyle w:val="Standard"/>
        <w:spacing w:after="0" w:line="240" w:lineRule="auto"/>
        <w:jc w:val="both"/>
      </w:pPr>
      <w:r>
        <w:rPr>
          <w:rFonts w:cs="Calibri"/>
          <w:bCs/>
        </w:rPr>
        <w:t>Alcuni interventi sono poi previsti per sostenere una specifica</w:t>
      </w:r>
      <w:r>
        <w:rPr>
          <w:rFonts w:cs="Calibri"/>
          <w:b/>
        </w:rPr>
        <w:t xml:space="preserve"> </w:t>
      </w:r>
      <w:r>
        <w:rPr>
          <w:rFonts w:cs="Calibri"/>
          <w:b/>
          <w:i/>
          <w:iCs/>
          <w:color w:val="0070C0"/>
        </w:rPr>
        <w:t>formazione per lo sviluppo di competenze per l’innovazione</w:t>
      </w:r>
      <w:r>
        <w:rPr>
          <w:rFonts w:cs="Calibri"/>
          <w:bCs/>
        </w:rPr>
        <w:t xml:space="preserve"> (OS g) attraverso:</w:t>
      </w:r>
    </w:p>
    <w:p w14:paraId="79161C0E" w14:textId="77777777" w:rsidR="0057704A" w:rsidRDefault="004A66A7">
      <w:pPr>
        <w:pStyle w:val="Paragrafoelenco"/>
        <w:numPr>
          <w:ilvl w:val="0"/>
          <w:numId w:val="60"/>
        </w:numPr>
        <w:spacing w:after="0" w:line="240" w:lineRule="auto"/>
        <w:jc w:val="both"/>
      </w:pPr>
      <w:r>
        <w:rPr>
          <w:rFonts w:cs="Calibri"/>
          <w:bCs/>
        </w:rPr>
        <w:t xml:space="preserve">percorsi formativi finalizzati al </w:t>
      </w:r>
      <w:r>
        <w:rPr>
          <w:rFonts w:cs="Calibri"/>
          <w:b/>
        </w:rPr>
        <w:t>riallineamento di competenze/conoscenze</w:t>
      </w:r>
      <w:r>
        <w:rPr>
          <w:rFonts w:cs="Calibri"/>
          <w:bCs/>
        </w:rPr>
        <w:t xml:space="preserve"> per far fronte alle trasformazioni in atto nei modelli organizzativi e di business per effetto della digitalizzazione, dell’internazionalizzazione, dello smart working, dello sviluppo dell’economia circolare, della green e blue economy;</w:t>
      </w:r>
    </w:p>
    <w:p w14:paraId="79161C0F" w14:textId="77777777" w:rsidR="0057704A" w:rsidRDefault="004A66A7">
      <w:pPr>
        <w:pStyle w:val="Paragrafoelenco"/>
        <w:numPr>
          <w:ilvl w:val="0"/>
          <w:numId w:val="42"/>
        </w:numPr>
        <w:spacing w:after="0" w:line="240" w:lineRule="auto"/>
        <w:jc w:val="both"/>
      </w:pPr>
      <w:r>
        <w:rPr>
          <w:rFonts w:cs="Calibri"/>
          <w:bCs/>
        </w:rPr>
        <w:t xml:space="preserve"> misure di carattere informativo, orientativo, formativo finalizzate ad accrescere le </w:t>
      </w:r>
      <w:r>
        <w:rPr>
          <w:rFonts w:cs="Calibri"/>
          <w:b/>
        </w:rPr>
        <w:t>competenze personali, con specifico focus su quelle informatiche e linguistiche.</w:t>
      </w:r>
    </w:p>
    <w:p w14:paraId="79161C10" w14:textId="77777777" w:rsidR="0057704A" w:rsidRDefault="004A66A7">
      <w:pPr>
        <w:pStyle w:val="Standard"/>
        <w:spacing w:after="0" w:line="240" w:lineRule="auto"/>
        <w:jc w:val="both"/>
      </w:pPr>
      <w:r>
        <w:rPr>
          <w:rFonts w:cs="Calibri"/>
          <w:bCs/>
        </w:rPr>
        <w:t xml:space="preserve">In OS f e g saranno finanziate inoltre </w:t>
      </w:r>
      <w:r>
        <w:rPr>
          <w:rFonts w:cs="Calibri"/>
          <w:b/>
          <w:i/>
          <w:iCs/>
          <w:color w:val="0070C0"/>
        </w:rPr>
        <w:t>Reti e collaborazioni</w:t>
      </w:r>
      <w:r>
        <w:rPr>
          <w:rFonts w:cs="Calibri"/>
          <w:bCs/>
        </w:rPr>
        <w:t xml:space="preserve"> per sviluppare </w:t>
      </w:r>
      <w:r>
        <w:rPr>
          <w:rFonts w:cs="Calibri"/>
          <w:b/>
        </w:rPr>
        <w:t>sinergie tra comunità scolastiche, imprese e terzo settore</w:t>
      </w:r>
      <w:r>
        <w:rPr>
          <w:rFonts w:cs="Calibri"/>
          <w:bCs/>
        </w:rPr>
        <w:t xml:space="preserve"> finalizzate a sostenere il trasferimento di competenze volte all’emersione e al contrasto del disagio culturale e sociale, in particolare degli studenti con bisogni educativi speciali.</w:t>
      </w:r>
    </w:p>
    <w:p w14:paraId="79161C11" w14:textId="77777777" w:rsidR="0057704A" w:rsidRDefault="004A66A7">
      <w:pPr>
        <w:pStyle w:val="Standard"/>
        <w:spacing w:after="0" w:line="240" w:lineRule="auto"/>
        <w:jc w:val="both"/>
      </w:pPr>
      <w:r>
        <w:rPr>
          <w:rFonts w:cs="Calibri"/>
          <w:bCs/>
        </w:rPr>
        <w:t>Si prevede inoltre la sperimentazione di modelli di</w:t>
      </w:r>
      <w:r>
        <w:rPr>
          <w:rFonts w:cs="Calibri"/>
          <w:b/>
        </w:rPr>
        <w:t xml:space="preserve"> collaborazione tra scuole/enti di ricerca e imprese</w:t>
      </w:r>
      <w:r>
        <w:rPr>
          <w:rFonts w:cs="Calibri"/>
          <w:bCs/>
        </w:rPr>
        <w:t xml:space="preserve"> per accrescere le </w:t>
      </w:r>
      <w:r>
        <w:rPr>
          <w:rFonts w:cs="Calibri"/>
          <w:b/>
        </w:rPr>
        <w:t>competenze trasversali e specialistiche</w:t>
      </w:r>
      <w:r>
        <w:rPr>
          <w:rFonts w:cs="Calibri"/>
          <w:bCs/>
        </w:rPr>
        <w:t xml:space="preserve"> (transizione industriale, digitale e verde e sostenibilità).</w:t>
      </w:r>
      <w:bookmarkEnd w:id="13"/>
    </w:p>
    <w:p w14:paraId="79161C12" w14:textId="77777777" w:rsidR="0057704A" w:rsidRDefault="0057704A">
      <w:pPr>
        <w:pStyle w:val="Standard"/>
        <w:spacing w:after="0" w:line="240" w:lineRule="auto"/>
        <w:jc w:val="both"/>
        <w:rPr>
          <w:rFonts w:cs="Calibri"/>
          <w:bCs/>
        </w:rPr>
      </w:pPr>
    </w:p>
    <w:p w14:paraId="79161C13" w14:textId="77777777" w:rsidR="0057704A" w:rsidRPr="00C33BF0" w:rsidRDefault="004A66A7">
      <w:pPr>
        <w:pStyle w:val="Titolo5"/>
        <w:shd w:val="clear" w:color="auto" w:fill="92D050"/>
        <w:spacing w:before="0" w:line="240" w:lineRule="auto"/>
        <w:jc w:val="both"/>
        <w:rPr>
          <w:color w:val="002060"/>
        </w:rPr>
      </w:pPr>
      <w:r w:rsidRPr="00C33BF0">
        <w:rPr>
          <w:b/>
          <w:bCs/>
          <w:i/>
          <w:iCs/>
          <w:color w:val="002060"/>
          <w:sz w:val="24"/>
          <w:szCs w:val="24"/>
          <w:lang w:eastAsia="it-IT"/>
        </w:rPr>
        <w:t>Priorità Azioni Sociali Innovative</w:t>
      </w:r>
    </w:p>
    <w:p w14:paraId="79161C14" w14:textId="41DCE771" w:rsidR="0057704A" w:rsidRDefault="004A66A7">
      <w:pPr>
        <w:pStyle w:val="Standard"/>
        <w:spacing w:after="0" w:line="240" w:lineRule="auto"/>
        <w:jc w:val="both"/>
      </w:pPr>
      <w:r>
        <w:rPr>
          <w:lang w:eastAsia="it-IT"/>
        </w:rPr>
        <w:t xml:space="preserve">In OS h, sono stati previsti interventi a sostegno dei </w:t>
      </w:r>
      <w:r>
        <w:rPr>
          <w:b/>
          <w:bCs/>
          <w:i/>
          <w:iCs/>
          <w:color w:val="0070C0"/>
          <w:lang w:eastAsia="it-IT"/>
        </w:rPr>
        <w:t>modelli innovativi</w:t>
      </w:r>
      <w:r>
        <w:rPr>
          <w:color w:val="0070C0"/>
          <w:lang w:eastAsia="it-IT"/>
        </w:rPr>
        <w:t xml:space="preserve"> </w:t>
      </w:r>
      <w:r>
        <w:rPr>
          <w:b/>
          <w:bCs/>
          <w:i/>
          <w:iCs/>
          <w:color w:val="0070C0"/>
          <w:lang w:eastAsia="it-IT"/>
        </w:rPr>
        <w:t>per i servizi di welfare</w:t>
      </w:r>
      <w:r>
        <w:rPr>
          <w:color w:val="0070C0"/>
          <w:lang w:eastAsia="it-IT"/>
        </w:rPr>
        <w:t xml:space="preserve"> </w:t>
      </w:r>
      <w:r>
        <w:rPr>
          <w:lang w:eastAsia="it-IT"/>
        </w:rPr>
        <w:t xml:space="preserve">per migliorare l’accessibilità e l’efficacia dei sistemi </w:t>
      </w:r>
      <w:r w:rsidR="00C33BF0">
        <w:rPr>
          <w:lang w:eastAsia="it-IT"/>
        </w:rPr>
        <w:t>sociosanitari</w:t>
      </w:r>
      <w:r>
        <w:rPr>
          <w:lang w:eastAsia="it-IT"/>
        </w:rPr>
        <w:t xml:space="preserve"> attraverso:</w:t>
      </w:r>
    </w:p>
    <w:p w14:paraId="79161C15" w14:textId="08988D64" w:rsidR="0057704A" w:rsidRDefault="004A66A7">
      <w:pPr>
        <w:pStyle w:val="Paragrafoelenco"/>
        <w:numPr>
          <w:ilvl w:val="0"/>
          <w:numId w:val="61"/>
        </w:numPr>
        <w:spacing w:after="0" w:line="240" w:lineRule="auto"/>
        <w:jc w:val="both"/>
      </w:pPr>
      <w:r>
        <w:rPr>
          <w:lang w:eastAsia="it-IT"/>
        </w:rPr>
        <w:t xml:space="preserve">l’avvio sperimentale di </w:t>
      </w:r>
      <w:r w:rsidR="00C33BF0">
        <w:rPr>
          <w:b/>
          <w:bCs/>
          <w:lang w:eastAsia="it-IT"/>
        </w:rPr>
        <w:t>microsistemi</w:t>
      </w:r>
      <w:r>
        <w:rPr>
          <w:b/>
          <w:bCs/>
          <w:lang w:eastAsia="it-IT"/>
        </w:rPr>
        <w:t xml:space="preserve"> integrati di e-health place-</w:t>
      </w:r>
      <w:proofErr w:type="spellStart"/>
      <w:r>
        <w:rPr>
          <w:b/>
          <w:bCs/>
          <w:lang w:eastAsia="it-IT"/>
        </w:rPr>
        <w:t>based</w:t>
      </w:r>
      <w:proofErr w:type="spellEnd"/>
      <w:r>
        <w:rPr>
          <w:lang w:eastAsia="it-IT"/>
        </w:rPr>
        <w:t xml:space="preserve"> volti a promuovere una più ampia, capillare, efficace erogazione dei servizi di cura a domicilio, anziché nei luoghi istituzionali delle cure sanitarie (ambulatori, ospedali, strutture residenziali);</w:t>
      </w:r>
    </w:p>
    <w:p w14:paraId="79161C16" w14:textId="20E371BB" w:rsidR="0057704A" w:rsidRDefault="004A66A7">
      <w:pPr>
        <w:pStyle w:val="Paragrafoelenco"/>
        <w:numPr>
          <w:ilvl w:val="0"/>
          <w:numId w:val="43"/>
        </w:numPr>
        <w:spacing w:after="0" w:line="240" w:lineRule="auto"/>
        <w:jc w:val="both"/>
      </w:pPr>
      <w:r>
        <w:rPr>
          <w:b/>
          <w:bCs/>
          <w:lang w:eastAsia="it-IT"/>
        </w:rPr>
        <w:t>percorsi formativi per i caregiver familiari</w:t>
      </w:r>
      <w:r>
        <w:rPr>
          <w:lang w:eastAsia="it-IT"/>
        </w:rPr>
        <w:t xml:space="preserve"> in raccordo con il sistema dei servizi </w:t>
      </w:r>
      <w:r w:rsidR="00C33BF0">
        <w:rPr>
          <w:lang w:eastAsia="it-IT"/>
        </w:rPr>
        <w:t>sociosanitari</w:t>
      </w:r>
      <w:r>
        <w:rPr>
          <w:lang w:eastAsia="it-IT"/>
        </w:rPr>
        <w:t xml:space="preserve"> regionale.</w:t>
      </w:r>
    </w:p>
    <w:p w14:paraId="79161C17" w14:textId="77777777" w:rsidR="0057704A" w:rsidRDefault="0057704A">
      <w:pPr>
        <w:pStyle w:val="Standard"/>
        <w:spacing w:after="0" w:line="240" w:lineRule="auto"/>
        <w:jc w:val="both"/>
        <w:rPr>
          <w:lang w:eastAsia="it-IT"/>
        </w:rPr>
      </w:pPr>
    </w:p>
    <w:p w14:paraId="79161C18" w14:textId="6C4DFB58" w:rsidR="0057704A" w:rsidRDefault="004A66A7">
      <w:pPr>
        <w:pStyle w:val="Standard"/>
        <w:spacing w:after="0" w:line="240" w:lineRule="auto"/>
        <w:jc w:val="both"/>
      </w:pPr>
      <w:r>
        <w:rPr>
          <w:lang w:eastAsia="it-IT"/>
        </w:rPr>
        <w:t xml:space="preserve">Tra i </w:t>
      </w:r>
      <w:r>
        <w:rPr>
          <w:b/>
          <w:bCs/>
          <w:i/>
          <w:iCs/>
          <w:color w:val="0070C0"/>
          <w:lang w:eastAsia="it-IT"/>
        </w:rPr>
        <w:t xml:space="preserve">Modelli sinergici di inclusione sociale e/o </w:t>
      </w:r>
      <w:r w:rsidR="007F3B35">
        <w:rPr>
          <w:b/>
          <w:bCs/>
          <w:i/>
          <w:iCs/>
          <w:color w:val="0070C0"/>
          <w:lang w:eastAsia="it-IT"/>
        </w:rPr>
        <w:t>lavorativa</w:t>
      </w:r>
      <w:r w:rsidR="007F3B35">
        <w:rPr>
          <w:lang w:eastAsia="it-IT"/>
        </w:rPr>
        <w:t xml:space="preserve"> (</w:t>
      </w:r>
      <w:r>
        <w:rPr>
          <w:lang w:eastAsia="it-IT"/>
        </w:rPr>
        <w:t>OS h, a), particolare attenzione è data a:</w:t>
      </w:r>
    </w:p>
    <w:p w14:paraId="79161C19" w14:textId="77777777" w:rsidR="0057704A" w:rsidRDefault="004A66A7">
      <w:pPr>
        <w:pStyle w:val="Paragrafoelenco"/>
        <w:numPr>
          <w:ilvl w:val="0"/>
          <w:numId w:val="62"/>
        </w:numPr>
        <w:spacing w:after="0" w:line="240" w:lineRule="auto"/>
        <w:jc w:val="both"/>
      </w:pPr>
      <w:r>
        <w:rPr>
          <w:lang w:eastAsia="it-IT"/>
        </w:rPr>
        <w:t xml:space="preserve">i percorsi di riqualificazione professionale e di </w:t>
      </w:r>
      <w:r>
        <w:rPr>
          <w:b/>
          <w:bCs/>
          <w:lang w:eastAsia="it-IT"/>
        </w:rPr>
        <w:t xml:space="preserve">inserimento socio-lavorativo rivolte in particolare alle donne </w:t>
      </w:r>
      <w:r>
        <w:rPr>
          <w:lang w:eastAsia="it-IT"/>
        </w:rPr>
        <w:t xml:space="preserve">al fine di incrementare la loro partecipazione al mercato del lavoro, il recupero della piena autonomia dei soggetti </w:t>
      </w:r>
      <w:r>
        <w:rPr>
          <w:b/>
          <w:bCs/>
          <w:lang w:eastAsia="it-IT"/>
        </w:rPr>
        <w:t>vittime di tratta</w:t>
      </w:r>
      <w:r>
        <w:rPr>
          <w:lang w:eastAsia="it-IT"/>
        </w:rPr>
        <w:t xml:space="preserve"> (laboratori di recupero autostima e di </w:t>
      </w:r>
      <w:proofErr w:type="spellStart"/>
      <w:r>
        <w:rPr>
          <w:i/>
          <w:iCs/>
          <w:lang w:eastAsia="it-IT"/>
        </w:rPr>
        <w:t>problem</w:t>
      </w:r>
      <w:proofErr w:type="spellEnd"/>
      <w:r>
        <w:rPr>
          <w:i/>
          <w:iCs/>
          <w:lang w:eastAsia="it-IT"/>
        </w:rPr>
        <w:t xml:space="preserve"> solving</w:t>
      </w:r>
      <w:r>
        <w:rPr>
          <w:lang w:eastAsia="it-IT"/>
        </w:rPr>
        <w:t>);</w:t>
      </w:r>
    </w:p>
    <w:p w14:paraId="79161C1A" w14:textId="77777777" w:rsidR="0057704A" w:rsidRDefault="004A66A7">
      <w:pPr>
        <w:pStyle w:val="Paragrafoelenco"/>
        <w:numPr>
          <w:ilvl w:val="0"/>
          <w:numId w:val="44"/>
        </w:numPr>
        <w:spacing w:after="0" w:line="240" w:lineRule="auto"/>
        <w:jc w:val="both"/>
      </w:pPr>
      <w:r>
        <w:rPr>
          <w:lang w:eastAsia="it-IT"/>
        </w:rPr>
        <w:t xml:space="preserve">la creazione di un sistema di qualificazione e certificazione delle competenze e delle qualifiche in particolare dei </w:t>
      </w:r>
      <w:r>
        <w:rPr>
          <w:b/>
          <w:bCs/>
          <w:lang w:eastAsia="it-IT"/>
        </w:rPr>
        <w:t>migranti, rifugiati e profughi;</w:t>
      </w:r>
    </w:p>
    <w:p w14:paraId="79161C1B" w14:textId="77777777" w:rsidR="0057704A" w:rsidRDefault="004A66A7">
      <w:pPr>
        <w:pStyle w:val="Paragrafoelenco"/>
        <w:numPr>
          <w:ilvl w:val="0"/>
          <w:numId w:val="44"/>
        </w:numPr>
        <w:spacing w:after="0" w:line="240" w:lineRule="auto"/>
        <w:jc w:val="both"/>
      </w:pPr>
      <w:r>
        <w:rPr>
          <w:lang w:eastAsia="it-IT"/>
        </w:rPr>
        <w:t xml:space="preserve">le </w:t>
      </w:r>
      <w:r>
        <w:rPr>
          <w:b/>
          <w:bCs/>
          <w:lang w:eastAsia="it-IT"/>
        </w:rPr>
        <w:t>collaborazioni</w:t>
      </w:r>
      <w:r>
        <w:rPr>
          <w:lang w:eastAsia="it-IT"/>
        </w:rPr>
        <w:t xml:space="preserve"> sociali tra pubblico, società civile e organizzazioni del terzo settore per la gestione dei beni confiscati, attraverso </w:t>
      </w:r>
      <w:r>
        <w:rPr>
          <w:b/>
          <w:bCs/>
          <w:lang w:eastAsia="it-IT"/>
        </w:rPr>
        <w:t>percorsi sinergici socio-lavorativi</w:t>
      </w:r>
      <w:r>
        <w:rPr>
          <w:lang w:eastAsia="it-IT"/>
        </w:rPr>
        <w:t>.</w:t>
      </w:r>
    </w:p>
    <w:p w14:paraId="79161C1C" w14:textId="77777777" w:rsidR="0057704A" w:rsidRDefault="004A66A7">
      <w:pPr>
        <w:pStyle w:val="Standard"/>
        <w:spacing w:after="0" w:line="240" w:lineRule="auto"/>
        <w:jc w:val="both"/>
      </w:pPr>
      <w:r>
        <w:rPr>
          <w:lang w:eastAsia="it-IT"/>
        </w:rPr>
        <w:t xml:space="preserve">Tra le azioni innovative in OS H, si segnalano </w:t>
      </w:r>
      <w:r>
        <w:rPr>
          <w:b/>
          <w:bCs/>
          <w:i/>
          <w:iCs/>
          <w:color w:val="0070C0"/>
          <w:lang w:eastAsia="it-IT"/>
        </w:rPr>
        <w:t>Modelli di apprendimento innovativi</w:t>
      </w:r>
      <w:r>
        <w:rPr>
          <w:lang w:eastAsia="it-IT"/>
        </w:rPr>
        <w:t xml:space="preserve"> che prevedono:</w:t>
      </w:r>
    </w:p>
    <w:p w14:paraId="79161C1D" w14:textId="77777777" w:rsidR="0057704A" w:rsidRDefault="004A66A7">
      <w:pPr>
        <w:pStyle w:val="Paragrafoelenco"/>
        <w:numPr>
          <w:ilvl w:val="0"/>
          <w:numId w:val="63"/>
        </w:numPr>
        <w:spacing w:after="0" w:line="240" w:lineRule="auto"/>
        <w:jc w:val="both"/>
      </w:pPr>
      <w:r>
        <w:rPr>
          <w:lang w:eastAsia="it-IT"/>
        </w:rPr>
        <w:lastRenderedPageBreak/>
        <w:t xml:space="preserve">progetti finalizzati a </w:t>
      </w:r>
      <w:r>
        <w:rPr>
          <w:b/>
          <w:bCs/>
          <w:lang w:eastAsia="it-IT"/>
        </w:rPr>
        <w:t xml:space="preserve">migliorare le competenze digitali, </w:t>
      </w:r>
      <w:r>
        <w:rPr>
          <w:lang w:eastAsia="it-IT"/>
        </w:rPr>
        <w:t>l’acquisto</w:t>
      </w:r>
      <w:r>
        <w:rPr>
          <w:b/>
          <w:bCs/>
          <w:lang w:eastAsia="it-IT"/>
        </w:rPr>
        <w:t xml:space="preserve"> di apparecchiature digitali</w:t>
      </w:r>
      <w:r>
        <w:rPr>
          <w:lang w:eastAsia="it-IT"/>
        </w:rPr>
        <w:t xml:space="preserve"> e di applicazioni e piattaforme di e-Learning per le scuole, rivolti in particolare agli studenti provenienti da gruppi svantaggiati, nonché per gli studenti e educatori con disabilità;</w:t>
      </w:r>
    </w:p>
    <w:p w14:paraId="79161C1E" w14:textId="77777777" w:rsidR="0057704A" w:rsidRDefault="004A66A7">
      <w:pPr>
        <w:pStyle w:val="Paragrafoelenco"/>
        <w:numPr>
          <w:ilvl w:val="0"/>
          <w:numId w:val="45"/>
        </w:numPr>
        <w:spacing w:after="0" w:line="240" w:lineRule="auto"/>
        <w:jc w:val="both"/>
      </w:pPr>
      <w:r>
        <w:rPr>
          <w:lang w:eastAsia="it-IT"/>
        </w:rPr>
        <w:t xml:space="preserve"> </w:t>
      </w:r>
      <w:r>
        <w:rPr>
          <w:b/>
          <w:bCs/>
          <w:lang w:eastAsia="it-IT"/>
        </w:rPr>
        <w:t>percorsi di alfabetizzazione linguistica e culturale</w:t>
      </w:r>
      <w:r>
        <w:rPr>
          <w:lang w:eastAsia="it-IT"/>
        </w:rPr>
        <w:t xml:space="preserve"> e percorsi</w:t>
      </w:r>
      <w:r>
        <w:rPr>
          <w:b/>
          <w:bCs/>
          <w:lang w:eastAsia="it-IT"/>
        </w:rPr>
        <w:t xml:space="preserve"> formativi di innovazione digitale.</w:t>
      </w:r>
    </w:p>
    <w:p w14:paraId="79161C1F" w14:textId="77777777" w:rsidR="0057704A" w:rsidRDefault="004A66A7">
      <w:pPr>
        <w:pStyle w:val="Standard"/>
        <w:spacing w:after="0" w:line="240" w:lineRule="auto"/>
        <w:jc w:val="both"/>
      </w:pPr>
      <w:r>
        <w:rPr>
          <w:lang w:eastAsia="it-IT"/>
        </w:rPr>
        <w:t xml:space="preserve">Nell’ambito del </w:t>
      </w:r>
      <w:r>
        <w:rPr>
          <w:b/>
          <w:bCs/>
          <w:i/>
          <w:iCs/>
          <w:color w:val="0070C0"/>
          <w:lang w:eastAsia="it-IT"/>
        </w:rPr>
        <w:t>business e dell’imprenditorialità sociale</w:t>
      </w:r>
      <w:r>
        <w:rPr>
          <w:color w:val="0070C0"/>
          <w:lang w:eastAsia="it-IT"/>
        </w:rPr>
        <w:t xml:space="preserve"> </w:t>
      </w:r>
      <w:r>
        <w:rPr>
          <w:lang w:eastAsia="it-IT"/>
        </w:rPr>
        <w:t>(OS a) si annoverano:</w:t>
      </w:r>
    </w:p>
    <w:p w14:paraId="79161C20" w14:textId="77777777" w:rsidR="0057704A" w:rsidRDefault="004A66A7">
      <w:pPr>
        <w:pStyle w:val="Paragrafoelenco"/>
        <w:numPr>
          <w:ilvl w:val="0"/>
          <w:numId w:val="64"/>
        </w:numPr>
        <w:spacing w:after="0" w:line="240" w:lineRule="auto"/>
        <w:jc w:val="both"/>
      </w:pPr>
      <w:r>
        <w:rPr>
          <w:lang w:eastAsia="it-IT"/>
        </w:rPr>
        <w:t xml:space="preserve">interventi per la creazione di impresa focalizzati sui temi trasversali della </w:t>
      </w:r>
      <w:r>
        <w:rPr>
          <w:b/>
          <w:bCs/>
          <w:lang w:eastAsia="it-IT"/>
        </w:rPr>
        <w:t>transizione digitale e della transizione verso modelli produttivi circolari;</w:t>
      </w:r>
    </w:p>
    <w:p w14:paraId="79161C21" w14:textId="77777777" w:rsidR="0057704A" w:rsidRDefault="004A66A7">
      <w:pPr>
        <w:pStyle w:val="Paragrafoelenco"/>
        <w:numPr>
          <w:ilvl w:val="0"/>
          <w:numId w:val="46"/>
        </w:numPr>
        <w:spacing w:after="0" w:line="240" w:lineRule="auto"/>
        <w:jc w:val="both"/>
      </w:pPr>
      <w:r>
        <w:rPr>
          <w:lang w:eastAsia="it-IT"/>
        </w:rPr>
        <w:t xml:space="preserve">misure di </w:t>
      </w:r>
      <w:r>
        <w:rPr>
          <w:b/>
          <w:bCs/>
          <w:lang w:eastAsia="it-IT"/>
        </w:rPr>
        <w:t>sostegno per la costituzione di nuove imprese sociali</w:t>
      </w:r>
      <w:r>
        <w:rPr>
          <w:lang w:eastAsia="it-IT"/>
        </w:rPr>
        <w:t xml:space="preserve"> (anche micro), spesso collegate al riutilizzo dei beni confiscati, attraverso un più facile accesso ai finanziamenti, alla formazione e alla consulenza in materia finanziaria.</w:t>
      </w:r>
    </w:p>
    <w:p w14:paraId="79161C22" w14:textId="77777777" w:rsidR="0057704A" w:rsidRDefault="004A66A7">
      <w:pPr>
        <w:pStyle w:val="Standard"/>
        <w:spacing w:after="0"/>
        <w:jc w:val="both"/>
      </w:pPr>
      <w:r>
        <w:t xml:space="preserve">Nell’Os </w:t>
      </w:r>
      <w:r>
        <w:rPr>
          <w:i/>
          <w:iCs/>
        </w:rPr>
        <w:t>k</w:t>
      </w:r>
      <w:r>
        <w:t xml:space="preserve">) è stato previsto il sostegno all’avvio, in funzione sperimentale, di </w:t>
      </w:r>
      <w:proofErr w:type="gramStart"/>
      <w:r>
        <w:rPr>
          <w:b/>
          <w:bCs/>
          <w:i/>
          <w:iCs/>
          <w:color w:val="0070C0"/>
          <w:lang w:eastAsia="it-IT"/>
        </w:rPr>
        <w:t>micro-sistemi</w:t>
      </w:r>
      <w:proofErr w:type="gramEnd"/>
      <w:r>
        <w:rPr>
          <w:b/>
          <w:bCs/>
          <w:i/>
          <w:iCs/>
          <w:color w:val="0070C0"/>
          <w:lang w:eastAsia="it-IT"/>
        </w:rPr>
        <w:t xml:space="preserve"> integrati</w:t>
      </w:r>
      <w:r>
        <w:t xml:space="preserve"> volti ad agevolare una più ampia e </w:t>
      </w:r>
      <w:r>
        <w:rPr>
          <w:b/>
          <w:bCs/>
        </w:rPr>
        <w:t>diffusa erogazione dei servizi di cura</w:t>
      </w:r>
      <w:r>
        <w:t xml:space="preserve"> a </w:t>
      </w:r>
      <w:r>
        <w:rPr>
          <w:b/>
          <w:bCs/>
        </w:rPr>
        <w:t>lungo termine a domicilio</w:t>
      </w:r>
      <w:r>
        <w:t xml:space="preserve"> attraverso il rafforzamento di supporti tecnologici e l’investimento sulla figura del caregiver.</w:t>
      </w:r>
    </w:p>
    <w:p w14:paraId="79161C23" w14:textId="77777777" w:rsidR="0057704A" w:rsidRDefault="004A66A7">
      <w:pPr>
        <w:pStyle w:val="Standard"/>
        <w:spacing w:after="0" w:line="240" w:lineRule="auto"/>
        <w:jc w:val="both"/>
      </w:pPr>
      <w:r>
        <w:rPr>
          <w:lang w:eastAsia="it-IT"/>
        </w:rPr>
        <w:t xml:space="preserve">Sia in OS </w:t>
      </w:r>
      <w:r>
        <w:rPr>
          <w:i/>
          <w:iCs/>
          <w:lang w:eastAsia="it-IT"/>
        </w:rPr>
        <w:t>a</w:t>
      </w:r>
      <w:r>
        <w:rPr>
          <w:lang w:eastAsia="it-IT"/>
        </w:rPr>
        <w:t xml:space="preserve"> che in </w:t>
      </w:r>
      <w:r>
        <w:rPr>
          <w:i/>
          <w:iCs/>
          <w:lang w:eastAsia="it-IT"/>
        </w:rPr>
        <w:t>h</w:t>
      </w:r>
      <w:r>
        <w:rPr>
          <w:lang w:eastAsia="it-IT"/>
        </w:rPr>
        <w:t xml:space="preserve"> sono stati collocati interventi di </w:t>
      </w:r>
      <w:r>
        <w:rPr>
          <w:b/>
          <w:bCs/>
          <w:i/>
          <w:iCs/>
          <w:color w:val="0070C0"/>
          <w:lang w:eastAsia="it-IT"/>
        </w:rPr>
        <w:t>capacity building</w:t>
      </w:r>
      <w:r>
        <w:rPr>
          <w:color w:val="0070C0"/>
          <w:lang w:eastAsia="it-IT"/>
        </w:rPr>
        <w:t xml:space="preserve"> </w:t>
      </w:r>
      <w:r>
        <w:rPr>
          <w:lang w:eastAsia="it-IT"/>
        </w:rPr>
        <w:t xml:space="preserve">a favore delle amministrazioni, del partenariato e degli operatori per </w:t>
      </w:r>
      <w:r>
        <w:rPr>
          <w:b/>
          <w:bCs/>
          <w:lang w:eastAsia="it-IT"/>
        </w:rPr>
        <w:t>migliorare le capacità generative dei modelli di intervento innovativi</w:t>
      </w:r>
      <w:r>
        <w:rPr>
          <w:lang w:eastAsia="it-IT"/>
        </w:rPr>
        <w:t xml:space="preserve">, anche con riferimento alla gestione dei beni confiscati. Azioni specifiche sono previste a favore del </w:t>
      </w:r>
      <w:r>
        <w:rPr>
          <w:b/>
          <w:bCs/>
          <w:lang w:eastAsia="it-IT"/>
        </w:rPr>
        <w:t>terzo settore che opera nelle comunità emarginate o a supporto dei migranti e dei rifugiati</w:t>
      </w:r>
      <w:r>
        <w:rPr>
          <w:lang w:eastAsia="it-IT"/>
        </w:rPr>
        <w:t>.</w:t>
      </w:r>
    </w:p>
    <w:p w14:paraId="79161C24" w14:textId="77777777" w:rsidR="0057704A" w:rsidRDefault="004A66A7">
      <w:pPr>
        <w:pStyle w:val="Standard"/>
        <w:spacing w:after="0" w:line="240" w:lineRule="auto"/>
        <w:jc w:val="both"/>
      </w:pPr>
      <w:r>
        <w:rPr>
          <w:lang w:eastAsia="it-IT"/>
        </w:rPr>
        <w:t xml:space="preserve">Si conferma anche in questa priorità l’attenzione alla </w:t>
      </w:r>
      <w:r>
        <w:rPr>
          <w:b/>
          <w:bCs/>
          <w:i/>
          <w:iCs/>
          <w:color w:val="0070C0"/>
          <w:lang w:eastAsia="it-IT"/>
        </w:rPr>
        <w:t>costruzione di reti</w:t>
      </w:r>
      <w:r>
        <w:rPr>
          <w:color w:val="0070C0"/>
          <w:lang w:eastAsia="it-IT"/>
        </w:rPr>
        <w:t xml:space="preserve"> </w:t>
      </w:r>
      <w:r>
        <w:rPr>
          <w:lang w:eastAsia="it-IT"/>
        </w:rPr>
        <w:t xml:space="preserve">finanziando le collaborazioni tra pubblico e privato per: implementare i </w:t>
      </w:r>
      <w:r>
        <w:rPr>
          <w:b/>
          <w:bCs/>
          <w:lang w:eastAsia="it-IT"/>
        </w:rPr>
        <w:t>processi di innovazione nell’ambito del settore sociale e culturale</w:t>
      </w:r>
      <w:r>
        <w:rPr>
          <w:lang w:eastAsia="it-IT"/>
        </w:rPr>
        <w:t xml:space="preserve">, anche a fini occupazionali, sostenere la </w:t>
      </w:r>
      <w:r>
        <w:rPr>
          <w:b/>
          <w:bCs/>
          <w:lang w:eastAsia="it-IT"/>
        </w:rPr>
        <w:t>cooperazione interistituzionale</w:t>
      </w:r>
      <w:r>
        <w:rPr>
          <w:lang w:eastAsia="it-IT"/>
        </w:rPr>
        <w:t xml:space="preserve"> a favore dei migranti, </w:t>
      </w:r>
      <w:r>
        <w:rPr>
          <w:b/>
          <w:bCs/>
          <w:lang w:eastAsia="it-IT"/>
        </w:rPr>
        <w:t xml:space="preserve">potenziare la sinergia tra la scuola e comunità di stranieri </w:t>
      </w:r>
      <w:r>
        <w:rPr>
          <w:lang w:eastAsia="it-IT"/>
        </w:rPr>
        <w:t xml:space="preserve">per favorire i </w:t>
      </w:r>
      <w:r>
        <w:rPr>
          <w:b/>
          <w:bCs/>
          <w:lang w:eastAsia="it-IT"/>
        </w:rPr>
        <w:t xml:space="preserve">processi per il riconoscimento delle </w:t>
      </w:r>
      <w:proofErr w:type="gramStart"/>
      <w:r>
        <w:rPr>
          <w:b/>
          <w:bCs/>
          <w:lang w:eastAsia="it-IT"/>
        </w:rPr>
        <w:t>qualifiche</w:t>
      </w:r>
      <w:r>
        <w:rPr>
          <w:lang w:eastAsia="it-IT"/>
        </w:rPr>
        <w:t xml:space="preserve"> .</w:t>
      </w:r>
      <w:proofErr w:type="gramEnd"/>
    </w:p>
    <w:p w14:paraId="79161C25" w14:textId="77777777" w:rsidR="0057704A" w:rsidRDefault="0057704A">
      <w:pPr>
        <w:pStyle w:val="Standard"/>
        <w:spacing w:after="0" w:line="240" w:lineRule="auto"/>
        <w:jc w:val="both"/>
        <w:rPr>
          <w:lang w:eastAsia="it-IT"/>
        </w:rPr>
      </w:pPr>
    </w:p>
    <w:p w14:paraId="79161C26" w14:textId="77777777" w:rsidR="0057704A" w:rsidRDefault="0057704A">
      <w:pPr>
        <w:pStyle w:val="Titolo3"/>
        <w:spacing w:before="0" w:line="240" w:lineRule="auto"/>
        <w:rPr>
          <w:b/>
          <w:bCs/>
          <w:sz w:val="10"/>
          <w:szCs w:val="10"/>
        </w:rPr>
      </w:pPr>
    </w:p>
    <w:p w14:paraId="79161C27" w14:textId="77777777" w:rsidR="0057704A" w:rsidRDefault="004A66A7">
      <w:pPr>
        <w:pStyle w:val="Titolo3"/>
        <w:spacing w:before="0" w:line="240" w:lineRule="auto"/>
      </w:pPr>
      <w:bookmarkStart w:id="14" w:name="_Toc133396407"/>
      <w:bookmarkStart w:id="15" w:name="__RefHeading__7794_183342921"/>
      <w:r>
        <w:rPr>
          <w:b/>
          <w:bCs/>
          <w:i/>
          <w:iCs/>
          <w:color w:val="2F5496"/>
        </w:rPr>
        <w:t>I programmi nazionali</w:t>
      </w:r>
      <w:bookmarkEnd w:id="14"/>
      <w:bookmarkEnd w:id="15"/>
    </w:p>
    <w:p w14:paraId="79161C28" w14:textId="77777777" w:rsidR="0057704A" w:rsidRDefault="004A66A7">
      <w:pPr>
        <w:pStyle w:val="Standard"/>
        <w:spacing w:after="0" w:line="240" w:lineRule="auto"/>
        <w:jc w:val="both"/>
      </w:pPr>
      <w:r>
        <w:rPr>
          <w:rFonts w:cs="Calibri"/>
        </w:rPr>
        <w:t>Anche a livello nazionale, l’innovazione sociale rappresenta un tema su cui le Amministrazioni centrali intenderebbero lavorare nel prossimo settennio, soprattutto in una logica di supporto allo sviluppo locale, sia in chiave di inclusione, sia in ottica di modernizzazione dei servizi territoriali attraverso interventi di formazione e sostegno all’occupazione.</w:t>
      </w:r>
    </w:p>
    <w:p w14:paraId="79161C29" w14:textId="77777777" w:rsidR="0057704A" w:rsidRDefault="004A66A7">
      <w:pPr>
        <w:pStyle w:val="Standard"/>
        <w:spacing w:after="0" w:line="240" w:lineRule="auto"/>
        <w:jc w:val="both"/>
      </w:pPr>
      <w:r>
        <w:rPr>
          <w:rFonts w:cs="Calibri"/>
        </w:rPr>
        <w:t>Si riporta di seguito una s</w:t>
      </w:r>
      <w:r>
        <w:rPr>
          <w:rFonts w:cs="Calibri"/>
          <w:u w:val="single"/>
        </w:rPr>
        <w:t xml:space="preserve">intesi dei contenuti dei </w:t>
      </w:r>
      <w:r>
        <w:rPr>
          <w:rFonts w:cs="Calibri"/>
          <w:b/>
          <w:bCs/>
          <w:u w:val="single"/>
        </w:rPr>
        <w:t>Programmi nazionali</w:t>
      </w:r>
      <w:r>
        <w:rPr>
          <w:rFonts w:cs="Calibri"/>
          <w:u w:val="single"/>
        </w:rPr>
        <w:t xml:space="preserve"> che supportano tali interventi </w:t>
      </w:r>
      <w:r>
        <w:rPr>
          <w:rFonts w:cs="Calibri"/>
          <w:b/>
          <w:bCs/>
          <w:u w:val="single"/>
        </w:rPr>
        <w:t>attraverso il FSE</w:t>
      </w:r>
      <w:r>
        <w:rPr>
          <w:rFonts w:cs="Calibri"/>
          <w:b/>
          <w:bCs/>
        </w:rPr>
        <w:t>+,</w:t>
      </w:r>
      <w:r>
        <w:rPr>
          <w:rFonts w:cs="Calibri"/>
        </w:rPr>
        <w:t xml:space="preserve"> fermo restando che anche il </w:t>
      </w:r>
      <w:r>
        <w:rPr>
          <w:rFonts w:cs="Calibri"/>
          <w:u w:val="single"/>
        </w:rPr>
        <w:t>PN Cultura</w:t>
      </w:r>
      <w:r>
        <w:rPr>
          <w:rFonts w:cs="Calibri"/>
        </w:rPr>
        <w:t xml:space="preserve"> prevede l’attuazione di una serie di iniziative di inclusione e innovazione sociale (trasformazione del ruolo dei luoghi della cultura statali del Mezzogiorno, progetti a favore del welfare culturale</w:t>
      </w:r>
      <w:r>
        <w:rPr>
          <w:rFonts w:cs="Calibri"/>
          <w:i/>
          <w:iCs/>
        </w:rPr>
        <w:t xml:space="preserve">, </w:t>
      </w:r>
      <w:r>
        <w:rPr>
          <w:rFonts w:cs="Calibri"/>
        </w:rPr>
        <w:t>dell’educazione culturale e artistica per le scuole, del contrasto all’emarginazione e all’esclusione sociale</w:t>
      </w:r>
      <w:r>
        <w:rPr>
          <w:rFonts w:cs="Calibri"/>
          <w:i/>
          <w:iCs/>
        </w:rPr>
        <w:t xml:space="preserve">, </w:t>
      </w:r>
      <w:r>
        <w:rPr>
          <w:rFonts w:cs="Calibri"/>
        </w:rPr>
        <w:t xml:space="preserve">partenariati “speciali” pubblico-privati per la piena valorizzazione di beni culturali sottoutilizzati, o non fruibili o in abbandono, destinati a finalità culturali e di innovazione sociale) </w:t>
      </w:r>
      <w:r>
        <w:rPr>
          <w:rFonts w:cs="Calibri"/>
          <w:u w:val="single"/>
        </w:rPr>
        <w:t>finanziate esclusivamente con il FESR</w:t>
      </w:r>
      <w:r>
        <w:rPr>
          <w:rFonts w:cs="Calibri"/>
        </w:rPr>
        <w:t>.</w:t>
      </w:r>
    </w:p>
    <w:p w14:paraId="79161C2A" w14:textId="77777777" w:rsidR="0057704A" w:rsidRDefault="0057704A">
      <w:pPr>
        <w:pStyle w:val="Default"/>
        <w:rPr>
          <w:rFonts w:ascii="Calibri" w:hAnsi="Calibri" w:cs="Calibri"/>
          <w:sz w:val="22"/>
          <w:szCs w:val="22"/>
        </w:rPr>
      </w:pPr>
    </w:p>
    <w:p w14:paraId="79161C2B" w14:textId="306DE2D3" w:rsidR="0057704A" w:rsidRDefault="004A66A7">
      <w:pPr>
        <w:pStyle w:val="Default"/>
        <w:jc w:val="both"/>
      </w:pPr>
      <w:r>
        <w:rPr>
          <w:rFonts w:ascii="Calibri" w:hAnsi="Calibri" w:cs="Calibri"/>
          <w:color w:val="00000A"/>
          <w:sz w:val="22"/>
          <w:szCs w:val="22"/>
        </w:rPr>
        <w:t xml:space="preserve">Il </w:t>
      </w:r>
      <w:r>
        <w:rPr>
          <w:rFonts w:ascii="Calibri" w:hAnsi="Calibri" w:cs="Calibri"/>
          <w:b/>
          <w:bCs/>
          <w:color w:val="00000A"/>
          <w:sz w:val="22"/>
          <w:szCs w:val="22"/>
        </w:rPr>
        <w:t>PN METRO plus e città medie Sud</w:t>
      </w:r>
      <w:r>
        <w:rPr>
          <w:rFonts w:ascii="Calibri" w:hAnsi="Calibri" w:cs="Calibri"/>
          <w:color w:val="00000A"/>
          <w:sz w:val="22"/>
          <w:szCs w:val="22"/>
        </w:rPr>
        <w:t xml:space="preserve">, in una prospettiva di continuità e rafforzamento della strategia attuata nel 2014-2020 nell’affrontare le tematiche ambientali e nel promuovere interventi di rigenerazione urbana e di risposta al disagio </w:t>
      </w:r>
      <w:r w:rsidR="00491254">
        <w:rPr>
          <w:rFonts w:ascii="Calibri" w:hAnsi="Calibri" w:cs="Calibri"/>
          <w:color w:val="00000A"/>
          <w:sz w:val="22"/>
          <w:szCs w:val="22"/>
        </w:rPr>
        <w:t>socioeconomico</w:t>
      </w:r>
      <w:r>
        <w:rPr>
          <w:rFonts w:ascii="Calibri" w:hAnsi="Calibri" w:cs="Calibri"/>
          <w:color w:val="00000A"/>
          <w:sz w:val="22"/>
          <w:szCs w:val="22"/>
        </w:rPr>
        <w:t xml:space="preserve">, intende </w:t>
      </w:r>
      <w:r>
        <w:rPr>
          <w:rFonts w:ascii="Calibri" w:hAnsi="Calibri" w:cs="Calibri"/>
          <w:color w:val="00000A"/>
          <w:sz w:val="22"/>
          <w:szCs w:val="22"/>
          <w:u w:val="single"/>
        </w:rPr>
        <w:t>sostenere trasversalmente l’innovazione sociale</w:t>
      </w:r>
      <w:r>
        <w:rPr>
          <w:rFonts w:ascii="Calibri" w:hAnsi="Calibri" w:cs="Calibri"/>
          <w:color w:val="00000A"/>
          <w:sz w:val="22"/>
          <w:szCs w:val="22"/>
        </w:rPr>
        <w:t>.</w:t>
      </w:r>
    </w:p>
    <w:p w14:paraId="79161C2C" w14:textId="77777777" w:rsidR="0057704A" w:rsidRDefault="004A66A7">
      <w:pPr>
        <w:pStyle w:val="Default"/>
        <w:jc w:val="both"/>
      </w:pPr>
      <w:r>
        <w:rPr>
          <w:rFonts w:ascii="Calibri" w:hAnsi="Calibri" w:cs="Calibri"/>
          <w:color w:val="00000A"/>
          <w:sz w:val="22"/>
          <w:szCs w:val="22"/>
        </w:rPr>
        <w:t xml:space="preserve">Nell’ambito dei Progetti di Territorio, che dovranno elaborare le Città, potranno essere attivate specifiche iniziative di inclusione e innovazione sociale, finanziate dal FSE+, da affiancare agli investimenti promossi dal FESR, in un’ottica di integrazione e di coinvolgimento dei diversi attori del partenariato locale, di partecipazione attiva dei cittadini, di co-progettazione con gli ETS. Il programma intende sostenere lo sviluppo e la diffusione di </w:t>
      </w:r>
      <w:r>
        <w:rPr>
          <w:rFonts w:ascii="Calibri" w:hAnsi="Calibri" w:cs="Calibri"/>
          <w:color w:val="00000A"/>
          <w:sz w:val="22"/>
          <w:szCs w:val="22"/>
          <w:u w:val="single"/>
        </w:rPr>
        <w:t>interventi di innovazione sociale attraverso specifiche misure volte ad abilitare e rafforzare iniziative di attivazione dal basso</w:t>
      </w:r>
      <w:r>
        <w:rPr>
          <w:rFonts w:ascii="Calibri" w:hAnsi="Calibri" w:cs="Calibri"/>
          <w:color w:val="00000A"/>
          <w:sz w:val="22"/>
          <w:szCs w:val="22"/>
        </w:rPr>
        <w:t xml:space="preserve"> al fine di promuovere la costruzione di nuove forme di partenariato e di ecosistemi che negli anni hanno dimostrato di favorire lo sviluppo soprattutto nelle aree più marginali e svantaggiate. Nello specifico sarà supportata anche l’attuazione di </w:t>
      </w:r>
      <w:r>
        <w:rPr>
          <w:rFonts w:ascii="Calibri" w:hAnsi="Calibri" w:cs="Calibri"/>
          <w:color w:val="00000A"/>
          <w:sz w:val="22"/>
          <w:szCs w:val="22"/>
          <w:u w:val="single"/>
        </w:rPr>
        <w:t>interventi finalizzati a promuovere l’inclusione e l’innovazione sociale ed il miglioramento della qualità della vita in contesti degradati di alcune città medie RMS</w:t>
      </w:r>
      <w:r>
        <w:rPr>
          <w:rFonts w:ascii="Calibri" w:hAnsi="Calibri" w:cs="Calibri"/>
          <w:color w:val="00000A"/>
          <w:sz w:val="22"/>
          <w:szCs w:val="22"/>
        </w:rPr>
        <w:t>.</w:t>
      </w:r>
    </w:p>
    <w:p w14:paraId="79161C2D" w14:textId="77777777" w:rsidR="0057704A" w:rsidRDefault="004A66A7">
      <w:pPr>
        <w:pStyle w:val="Standard"/>
        <w:spacing w:after="0" w:line="240" w:lineRule="auto"/>
        <w:jc w:val="both"/>
      </w:pPr>
      <w:r>
        <w:rPr>
          <w:rFonts w:cs="Calibri"/>
        </w:rPr>
        <w:t xml:space="preserve">Nell’ambito della specifica </w:t>
      </w:r>
      <w:r>
        <w:rPr>
          <w:rFonts w:cs="Calibri"/>
          <w:i/>
          <w:iCs/>
        </w:rPr>
        <w:t>Priorità: 4. Servizi per l'inclusione e l'innovazione sociale</w:t>
      </w:r>
      <w:r>
        <w:rPr>
          <w:rFonts w:cs="Calibri"/>
        </w:rPr>
        <w:t xml:space="preserve">, le azioni previste sono state pensate in un’ottica innovativa che prevede il </w:t>
      </w:r>
      <w:r>
        <w:rPr>
          <w:rFonts w:cs="Calibri"/>
          <w:u w:val="single"/>
        </w:rPr>
        <w:t>coinvolgimento del Terzo Settore</w:t>
      </w:r>
      <w:r>
        <w:rPr>
          <w:rFonts w:cs="Calibri"/>
        </w:rPr>
        <w:t xml:space="preserve"> e della comunità nella progettazione di nuovi servizi. In continuità con la Programmazione 14-20, </w:t>
      </w:r>
      <w:r>
        <w:rPr>
          <w:rFonts w:cs="Calibri"/>
          <w:u w:val="single"/>
        </w:rPr>
        <w:t>il PN sostiene</w:t>
      </w:r>
      <w:r>
        <w:rPr>
          <w:rFonts w:cs="Calibri"/>
        </w:rPr>
        <w:t xml:space="preserve"> </w:t>
      </w:r>
      <w:r>
        <w:rPr>
          <w:rFonts w:cs="Calibri"/>
          <w:u w:val="single"/>
        </w:rPr>
        <w:t>l’economia sociale</w:t>
      </w:r>
      <w:r>
        <w:rPr>
          <w:rFonts w:cs="Calibri"/>
        </w:rPr>
        <w:t xml:space="preserve"> al fine di contribuire a una crescita equa, sostenibile e inclusiva, attraverso la realizzazione di ipotesi </w:t>
      </w:r>
      <w:r>
        <w:rPr>
          <w:rFonts w:cs="Calibri"/>
        </w:rPr>
        <w:lastRenderedPageBreak/>
        <w:t>progettuali finalizzati a trasformare reti e progetti embrionali di innovazione sociale in vere e proprie organizzazioni strutturate e in grado di sostenersi nel tempo.</w:t>
      </w:r>
    </w:p>
    <w:p w14:paraId="79161C2E" w14:textId="77777777" w:rsidR="0057704A" w:rsidRDefault="004A66A7">
      <w:pPr>
        <w:pStyle w:val="Standard"/>
        <w:spacing w:after="0" w:line="240" w:lineRule="auto"/>
        <w:jc w:val="both"/>
      </w:pPr>
      <w:r>
        <w:rPr>
          <w:rFonts w:cs="Calibri"/>
        </w:rPr>
        <w:t xml:space="preserve">Alla luce della complessità e dell’innovatività dei progetti che si intendono promuovere, verrà avviata una </w:t>
      </w:r>
      <w:r>
        <w:rPr>
          <w:rFonts w:cs="Calibri"/>
          <w:u w:val="single"/>
        </w:rPr>
        <w:t>azione di accompagnamento</w:t>
      </w:r>
      <w:r>
        <w:rPr>
          <w:rFonts w:cs="Calibri"/>
        </w:rPr>
        <w:t xml:space="preserve"> finalizzata prioritariamente allo sviluppo e rafforzamento della capacità istituzionale dei Comuni coinvolti e degli altri soggetti coinvolti a livello locale. L’azione di accompagnamento sarà sviluppata con il </w:t>
      </w:r>
      <w:r>
        <w:rPr>
          <w:rFonts w:cs="Calibri"/>
          <w:u w:val="single"/>
        </w:rPr>
        <w:t>supporto del progetto SEED</w:t>
      </w:r>
      <w:r>
        <w:rPr>
          <w:rFonts w:cs="Calibri"/>
        </w:rPr>
        <w:t xml:space="preserve"> (Social </w:t>
      </w:r>
      <w:proofErr w:type="spellStart"/>
      <w:r>
        <w:rPr>
          <w:rFonts w:cs="Calibri"/>
        </w:rPr>
        <w:t>innovation</w:t>
      </w:r>
      <w:proofErr w:type="spellEnd"/>
      <w:r>
        <w:rPr>
          <w:rFonts w:cs="Calibri"/>
        </w:rPr>
        <w:t xml:space="preserve"> Eco-system Development), per la realizzazione di un </w:t>
      </w:r>
      <w:r>
        <w:rPr>
          <w:rFonts w:cs="Calibri"/>
          <w:b/>
          <w:bCs/>
        </w:rPr>
        <w:t>Centro di competenza nazionale in materia di innovazione sociale</w:t>
      </w:r>
      <w:r>
        <w:rPr>
          <w:rFonts w:cs="Calibri"/>
        </w:rPr>
        <w:t>.</w:t>
      </w:r>
    </w:p>
    <w:p w14:paraId="79161C2F" w14:textId="77777777" w:rsidR="0057704A" w:rsidRDefault="004A66A7">
      <w:pPr>
        <w:pStyle w:val="Standard"/>
        <w:spacing w:after="0" w:line="240" w:lineRule="auto"/>
        <w:jc w:val="both"/>
      </w:pPr>
      <w:r>
        <w:rPr>
          <w:rFonts w:cs="Calibri"/>
        </w:rPr>
        <w:t xml:space="preserve">Il PN intende inoltre estendere alle città medie RMS il </w:t>
      </w:r>
      <w:r>
        <w:rPr>
          <w:rFonts w:cs="Calibri"/>
          <w:u w:val="single"/>
        </w:rPr>
        <w:t>rafforzamento dei servizi di inclusione</w:t>
      </w:r>
      <w:r>
        <w:rPr>
          <w:rFonts w:cs="Calibri"/>
        </w:rPr>
        <w:t xml:space="preserve"> attraverso pratiche di innovazione sociale, al fine di assicurare anche in questi territori, in particolare nelle aree più disagiate, una crescita inclusiva e l’affermazione di un modello di welfare di comunità partecipato e generativo che sia in grado di coniugare la sussidiarietà e la solidarietà.</w:t>
      </w:r>
    </w:p>
    <w:p w14:paraId="79161C30" w14:textId="77777777" w:rsidR="0057704A" w:rsidRDefault="0057704A">
      <w:pPr>
        <w:pStyle w:val="Default"/>
        <w:rPr>
          <w:sz w:val="23"/>
          <w:szCs w:val="23"/>
        </w:rPr>
      </w:pPr>
    </w:p>
    <w:p w14:paraId="79161C31" w14:textId="77777777" w:rsidR="0057704A" w:rsidRDefault="004A66A7">
      <w:pPr>
        <w:pStyle w:val="Standard"/>
        <w:spacing w:after="0" w:line="240" w:lineRule="auto"/>
        <w:jc w:val="both"/>
      </w:pPr>
      <w:r>
        <w:rPr>
          <w:rFonts w:cs="Calibri"/>
        </w:rPr>
        <w:t xml:space="preserve">Il PN </w:t>
      </w:r>
      <w:r>
        <w:rPr>
          <w:rFonts w:cs="Calibri"/>
          <w:b/>
          <w:bCs/>
        </w:rPr>
        <w:t>Giovani, donne e lavoro</w:t>
      </w:r>
      <w:r>
        <w:rPr>
          <w:rFonts w:cs="Calibri"/>
        </w:rPr>
        <w:t>, dedica una parte rilevante del suo impianto strategico al cambiamento e alla modernizzazione dei servizi territoriali in una logica unitaria. Al fine di migliorare i servizi, il PN potrà essere pertanto luogo d’elezione per pratiche di innovazione sociale e sperimentazione sociale. Si prevedono interventi innovativi come lo strumento finanziario a impatto sociale (</w:t>
      </w:r>
      <w:r>
        <w:rPr>
          <w:rFonts w:cs="Calibri"/>
          <w:i/>
          <w:iCs/>
        </w:rPr>
        <w:t xml:space="preserve">social impact </w:t>
      </w:r>
      <w:proofErr w:type="spellStart"/>
      <w:r>
        <w:rPr>
          <w:rFonts w:cs="Calibri"/>
          <w:i/>
          <w:iCs/>
        </w:rPr>
        <w:t>investing</w:t>
      </w:r>
      <w:proofErr w:type="spellEnd"/>
      <w:r>
        <w:rPr>
          <w:rFonts w:cs="Calibri"/>
          <w:i/>
          <w:iCs/>
        </w:rPr>
        <w:t>)</w:t>
      </w:r>
      <w:r>
        <w:rPr>
          <w:rFonts w:cs="Calibri"/>
        </w:rPr>
        <w:t xml:space="preserve">. Potranno inoltre essere promosse </w:t>
      </w:r>
      <w:r>
        <w:rPr>
          <w:rFonts w:cs="Calibri"/>
          <w:u w:val="single"/>
        </w:rPr>
        <w:t xml:space="preserve">sperimentazioni territoriali di specifiche misure e iniziative di policy </w:t>
      </w:r>
      <w:r>
        <w:rPr>
          <w:rFonts w:cs="Calibri"/>
        </w:rPr>
        <w:t>nell’ottica della scalabilità a seguito di rigorosa valutazione degli esiti.</w:t>
      </w:r>
    </w:p>
    <w:p w14:paraId="79161C32" w14:textId="77777777" w:rsidR="0057704A" w:rsidRDefault="004A66A7">
      <w:pPr>
        <w:pStyle w:val="Standard"/>
        <w:spacing w:after="0" w:line="240" w:lineRule="auto"/>
        <w:jc w:val="both"/>
      </w:pPr>
      <w:r>
        <w:rPr>
          <w:rFonts w:cs="Calibri"/>
        </w:rPr>
        <w:t xml:space="preserve">Sono altresì previsti </w:t>
      </w:r>
      <w:r>
        <w:rPr>
          <w:rFonts w:cs="Calibri"/>
          <w:u w:val="single"/>
        </w:rPr>
        <w:t>interventi nell’ambito della formazione</w:t>
      </w:r>
      <w:r>
        <w:rPr>
          <w:rFonts w:cs="Calibri"/>
        </w:rPr>
        <w:t xml:space="preserve"> che riguarderà potenzialmente alcuni specifici macro-ambiti di competenze, tra cui: innovazioni aziendali volte all’efficientamento energetico e all’uso di fonti sostenibili; alla promozione dell’economia circolare, alla riduzione di sprechi e al corretto trattamento di scarti e rifiuti; alla produzione e commercializzazione di beni e servizi a ridotto impatto ambientale; alla valorizzazione o riqualificazione del patrimonio ambientale, artistico e culturale.</w:t>
      </w:r>
    </w:p>
    <w:p w14:paraId="79161C33" w14:textId="77777777" w:rsidR="0057704A" w:rsidRDefault="004A66A7">
      <w:pPr>
        <w:pStyle w:val="Standard"/>
        <w:spacing w:after="0" w:line="240" w:lineRule="auto"/>
        <w:jc w:val="both"/>
      </w:pPr>
      <w:r>
        <w:rPr>
          <w:rFonts w:cs="Calibri"/>
        </w:rPr>
        <w:t>Con riferimento specifico alla priorità dedicata alla</w:t>
      </w:r>
      <w:r>
        <w:rPr>
          <w:rFonts w:cs="Calibri"/>
          <w:i/>
          <w:iCs/>
        </w:rPr>
        <w:t xml:space="preserve"> Modernizzazione dei servizi per il lavoro e delle politiche attive, </w:t>
      </w:r>
      <w:r>
        <w:rPr>
          <w:rFonts w:cs="Calibri"/>
        </w:rPr>
        <w:t xml:space="preserve">si prevede di </w:t>
      </w:r>
      <w:r>
        <w:rPr>
          <w:rFonts w:cs="Calibri"/>
          <w:u w:val="single"/>
        </w:rPr>
        <w:t xml:space="preserve">rafforzare le connessioni tra i diversi attori costruendo reti pubblico-private </w:t>
      </w:r>
      <w:r>
        <w:rPr>
          <w:rFonts w:cs="Calibri"/>
        </w:rPr>
        <w:t xml:space="preserve">per la formazione e per l’inclusione sociale e le pari opportunità, prevedendo azioni pilota e sperimentali sui sistemi (welfare territoriale, filiere produttive) o sui target (donne, svantaggiati, vulnerabili ecc.) che possano rappresentare </w:t>
      </w:r>
      <w:r>
        <w:rPr>
          <w:rFonts w:cs="Calibri"/>
          <w:u w:val="single"/>
        </w:rPr>
        <w:t>laboratori di innovazione.</w:t>
      </w:r>
      <w:r>
        <w:rPr>
          <w:rFonts w:cs="Calibri"/>
        </w:rPr>
        <w:t xml:space="preserve"> Nel Programma </w:t>
      </w:r>
      <w:proofErr w:type="gramStart"/>
      <w:r>
        <w:rPr>
          <w:rFonts w:cs="Calibri"/>
        </w:rPr>
        <w:t>si</w:t>
      </w:r>
      <w:proofErr w:type="gramEnd"/>
      <w:r>
        <w:rPr>
          <w:rFonts w:cs="Calibri"/>
        </w:rPr>
        <w:t xml:space="preserve"> evidenza inoltre la necessità di investire in pratiche di innovazione sociale in risposta alle sfide dello sviluppo locale.</w:t>
      </w:r>
    </w:p>
    <w:p w14:paraId="79161C34" w14:textId="77777777" w:rsidR="0057704A" w:rsidRDefault="0057704A">
      <w:pPr>
        <w:pStyle w:val="Standard"/>
        <w:spacing w:after="0" w:line="240" w:lineRule="auto"/>
        <w:jc w:val="both"/>
        <w:rPr>
          <w:rFonts w:cs="Calibri"/>
        </w:rPr>
      </w:pPr>
    </w:p>
    <w:p w14:paraId="79161C35" w14:textId="77777777" w:rsidR="0057704A" w:rsidRDefault="004A66A7">
      <w:pPr>
        <w:pStyle w:val="Standard"/>
        <w:spacing w:after="0" w:line="240" w:lineRule="auto"/>
        <w:jc w:val="both"/>
      </w:pPr>
      <w:r>
        <w:rPr>
          <w:rFonts w:cs="Calibri"/>
        </w:rPr>
        <w:t xml:space="preserve">Nell’ambito del </w:t>
      </w:r>
      <w:r>
        <w:rPr>
          <w:rFonts w:cs="Calibri"/>
          <w:b/>
          <w:bCs/>
        </w:rPr>
        <w:t>PN inclusione</w:t>
      </w:r>
      <w:r>
        <w:rPr>
          <w:rFonts w:cs="Calibri"/>
        </w:rPr>
        <w:t xml:space="preserve"> si prevede il finanziamento di servizi o attività innovativi e/o non ancora strutturati che gradualmente andranno a costituire la base anche per la definizione di nuovi livelli essenziali in ambito sociale, con conseguente passaggio a forme di finanziamento strutturale. In quest’ottica, il PN continuerà a fare da apripista per testare sui territori attività e servizi che si trasformeranno in componenti durevoli del sistema nazionale.</w:t>
      </w:r>
    </w:p>
    <w:p w14:paraId="79161C36" w14:textId="77777777" w:rsidR="0057704A" w:rsidRDefault="004A66A7">
      <w:pPr>
        <w:pStyle w:val="Standard"/>
        <w:spacing w:after="0" w:line="240" w:lineRule="auto"/>
        <w:jc w:val="both"/>
      </w:pPr>
      <w:r>
        <w:rPr>
          <w:rFonts w:cs="Calibri"/>
        </w:rPr>
        <w:t xml:space="preserve">Con riferimento agli Interventi per </w:t>
      </w:r>
      <w:r>
        <w:rPr>
          <w:rFonts w:cs="Calibri"/>
          <w:u w:val="single"/>
        </w:rPr>
        <w:t>l'inserimento socio lavorativo di persone in condizione di difficoltà socioeconomica e con bisogni speciali</w:t>
      </w:r>
      <w:r>
        <w:rPr>
          <w:rFonts w:cs="Calibri"/>
        </w:rPr>
        <w:t xml:space="preserve">, sono state previste azioni di innovazione e di sperimentazione sociale, con una particolare attenzione ai percorsi di attivazione sociale nei settori economici maggiormente in grado di offrire prospettive di mantenimento in attività di medio lungo termine (tra cui anche l’economia verde e il digitale).  Ad ogni modo la governance del programma è ispirata alla logica della </w:t>
      </w:r>
      <w:r>
        <w:rPr>
          <w:rFonts w:cs="Calibri"/>
          <w:i/>
          <w:iCs/>
        </w:rPr>
        <w:t>social Innovation</w:t>
      </w:r>
      <w:r>
        <w:rPr>
          <w:rFonts w:cs="Calibri"/>
        </w:rPr>
        <w:t xml:space="preserve"> prevedendo la compartecipazione dei diversi soggetti e organismi pubblici, privati e del privato sociale (e la capacità di </w:t>
      </w:r>
      <w:proofErr w:type="spellStart"/>
      <w:r>
        <w:rPr>
          <w:rFonts w:cs="Calibri"/>
        </w:rPr>
        <w:t>coprogettare</w:t>
      </w:r>
      <w:proofErr w:type="spellEnd"/>
      <w:r>
        <w:rPr>
          <w:rFonts w:cs="Calibri"/>
        </w:rPr>
        <w:t xml:space="preserve"> e co-agire quale condizione alla base della realizzazione degli interventi programmati.</w:t>
      </w:r>
    </w:p>
    <w:p w14:paraId="79161C37" w14:textId="77777777" w:rsidR="0057704A" w:rsidRDefault="0057704A">
      <w:pPr>
        <w:pStyle w:val="Standard"/>
        <w:spacing w:after="0" w:line="240" w:lineRule="auto"/>
        <w:rPr>
          <w:rFonts w:cs="Calibri"/>
        </w:rPr>
      </w:pPr>
    </w:p>
    <w:p w14:paraId="79161C38" w14:textId="77777777" w:rsidR="0057704A" w:rsidRDefault="004A66A7">
      <w:pPr>
        <w:pStyle w:val="Default"/>
        <w:jc w:val="both"/>
      </w:pPr>
      <w:r>
        <w:rPr>
          <w:rFonts w:ascii="Calibri" w:hAnsi="Calibri" w:cs="Calibri"/>
          <w:sz w:val="22"/>
          <w:szCs w:val="22"/>
        </w:rPr>
        <w:t xml:space="preserve">Nell’ambito del PN </w:t>
      </w:r>
      <w:r>
        <w:rPr>
          <w:rFonts w:ascii="Calibri" w:hAnsi="Calibri" w:cs="Calibri"/>
          <w:b/>
          <w:bCs/>
          <w:sz w:val="22"/>
          <w:szCs w:val="22"/>
        </w:rPr>
        <w:t xml:space="preserve">Capacità per la coesione </w:t>
      </w:r>
      <w:r>
        <w:rPr>
          <w:rFonts w:ascii="Calibri" w:hAnsi="Calibri" w:cs="Calibri"/>
          <w:sz w:val="22"/>
          <w:szCs w:val="22"/>
        </w:rPr>
        <w:t xml:space="preserve">emerge l’intenzione di intervenire sulla capacità operativa della PA per stimolare la competizione sulla qualità dei servizi e per promuovere innovazione sociale e tecnica nella gestione delle politiche per la coesione.  </w:t>
      </w:r>
    </w:p>
    <w:p w14:paraId="79161C39" w14:textId="77777777" w:rsidR="0057704A" w:rsidRDefault="004A66A7">
      <w:pPr>
        <w:pStyle w:val="Titolo2"/>
        <w:pageBreakBefore/>
        <w:spacing w:before="0" w:line="240" w:lineRule="auto"/>
        <w:jc w:val="both"/>
      </w:pPr>
      <w:bookmarkStart w:id="16" w:name="_Toc133396408"/>
      <w:bookmarkStart w:id="17" w:name="__RefHeading__7796_183342921"/>
      <w:r>
        <w:rPr>
          <w:b/>
          <w:bCs/>
          <w:i/>
          <w:iCs/>
          <w:color w:val="2F5496"/>
        </w:rPr>
        <w:lastRenderedPageBreak/>
        <w:t xml:space="preserve">Parte II </w:t>
      </w:r>
      <w:r>
        <w:rPr>
          <w:b/>
          <w:bCs/>
          <w:color w:val="2F5496"/>
        </w:rPr>
        <w:t>– La</w:t>
      </w:r>
      <w:r>
        <w:rPr>
          <w:i/>
          <w:iCs/>
          <w:color w:val="2F5496"/>
          <w:sz w:val="24"/>
          <w:szCs w:val="24"/>
        </w:rPr>
        <w:t xml:space="preserve"> </w:t>
      </w:r>
      <w:r>
        <w:rPr>
          <w:b/>
          <w:bCs/>
          <w:color w:val="2F5496"/>
        </w:rPr>
        <w:t>piattaforma europea Social Innovation Match (SIM): i casi studio</w:t>
      </w:r>
      <w:bookmarkEnd w:id="16"/>
      <w:bookmarkEnd w:id="17"/>
    </w:p>
    <w:p w14:paraId="79161C3A" w14:textId="77777777" w:rsidR="0057704A" w:rsidRDefault="0057704A">
      <w:pPr>
        <w:pStyle w:val="Standard"/>
        <w:pBdr>
          <w:bottom w:val="single" w:sz="4" w:space="1" w:color="00000A"/>
        </w:pBdr>
        <w:spacing w:after="0" w:line="240" w:lineRule="auto"/>
        <w:rPr>
          <w:rFonts w:ascii="Calibri Light" w:hAnsi="Calibri Light"/>
          <w:i/>
          <w:iCs/>
          <w:color w:val="2F5496"/>
          <w:sz w:val="16"/>
          <w:szCs w:val="16"/>
        </w:rPr>
      </w:pPr>
    </w:p>
    <w:p w14:paraId="79161C3B" w14:textId="77777777" w:rsidR="0057704A" w:rsidRDefault="0057704A">
      <w:pPr>
        <w:pStyle w:val="Standard"/>
        <w:spacing w:after="0" w:line="240" w:lineRule="auto"/>
        <w:jc w:val="both"/>
        <w:rPr>
          <w:rFonts w:cs="Calibri"/>
        </w:rPr>
      </w:pPr>
    </w:p>
    <w:p w14:paraId="79161C3C" w14:textId="77777777" w:rsidR="0057704A" w:rsidRDefault="004A66A7">
      <w:pPr>
        <w:pStyle w:val="Standard"/>
        <w:spacing w:after="0" w:line="240" w:lineRule="auto"/>
        <w:jc w:val="both"/>
      </w:pPr>
      <w:r>
        <w:rPr>
          <w:rFonts w:cs="Calibri"/>
        </w:rPr>
        <w:t xml:space="preserve">Per sostenere la visibilità delle iniziative di innovazione sociale  è stata creata la </w:t>
      </w:r>
      <w:hyperlink r:id="rId8" w:history="1">
        <w:r>
          <w:t>piattaforma</w:t>
        </w:r>
      </w:hyperlink>
      <w:r>
        <w:t xml:space="preserve"> </w:t>
      </w:r>
      <w:r>
        <w:rPr>
          <w:rFonts w:cs="Calibri"/>
          <w:b/>
          <w:bCs/>
          <w:i/>
          <w:iCs/>
        </w:rPr>
        <w:t xml:space="preserve">Social Innovation Match </w:t>
      </w:r>
      <w:r>
        <w:rPr>
          <w:rFonts w:cs="Calibri"/>
        </w:rPr>
        <w:t>che consente di</w:t>
      </w:r>
      <w:r>
        <w:t xml:space="preserve"> promuovere il trasferimento e/o il potenziamento dell’innovazione sociale in tutta Europa, mediante la condivisione e lo </w:t>
      </w:r>
      <w:r>
        <w:rPr>
          <w:i/>
          <w:iCs/>
        </w:rPr>
        <w:t>scaling up</w:t>
      </w:r>
      <w:r>
        <w:t xml:space="preserve"> delle iniziative, nell’ambito della quale sono confluite anche le buone pratiche che erano state oggetto di specifica pubblicazione da parte della Commissione europea nel 2021.</w:t>
      </w:r>
    </w:p>
    <w:p w14:paraId="79161C3D" w14:textId="77777777" w:rsidR="0057704A" w:rsidRDefault="004A66A7">
      <w:pPr>
        <w:pStyle w:val="NormaleWeb"/>
        <w:spacing w:before="0" w:after="0"/>
        <w:jc w:val="both"/>
      </w:pPr>
      <w:r>
        <w:rPr>
          <w:rFonts w:ascii="Calibri" w:hAnsi="Calibri" w:cs="F"/>
          <w:sz w:val="22"/>
          <w:szCs w:val="22"/>
          <w:lang w:eastAsia="en-US"/>
        </w:rPr>
        <w:t>Gli esempi di innovazione sociale raccolti nella piattaforma</w:t>
      </w:r>
      <w:r>
        <w:rPr>
          <w:rFonts w:ascii="Calibri" w:hAnsi="Calibri" w:cs="F"/>
          <w:i/>
          <w:iCs/>
          <w:sz w:val="22"/>
          <w:szCs w:val="22"/>
          <w:lang w:eastAsia="en-US"/>
        </w:rPr>
        <w:t xml:space="preserve"> SIM</w:t>
      </w:r>
      <w:r>
        <w:rPr>
          <w:rFonts w:ascii="Calibri" w:hAnsi="Calibri" w:cs="F"/>
          <w:sz w:val="22"/>
          <w:szCs w:val="22"/>
          <w:lang w:eastAsia="en-US"/>
        </w:rPr>
        <w:t xml:space="preserve"> hanno un'ampia copertura: interventi finanziati da fonti pubbliche o private, a livello locale, regionale, nazionale o europeo (sia FSE/FESR, sia Horizon, Erasmus, </w:t>
      </w:r>
      <w:proofErr w:type="spellStart"/>
      <w:r>
        <w:rPr>
          <w:rFonts w:ascii="Calibri" w:hAnsi="Calibri" w:cs="F"/>
          <w:sz w:val="22"/>
          <w:szCs w:val="22"/>
          <w:lang w:eastAsia="en-US"/>
        </w:rPr>
        <w:t>EuroAId</w:t>
      </w:r>
      <w:proofErr w:type="spellEnd"/>
      <w:r>
        <w:rPr>
          <w:rFonts w:ascii="Calibri" w:hAnsi="Calibri" w:cs="F"/>
          <w:sz w:val="22"/>
          <w:szCs w:val="22"/>
          <w:lang w:eastAsia="en-US"/>
        </w:rPr>
        <w:t>); sotto il profilo contenutistico, gli esempi sono classificati sulla base di</w:t>
      </w:r>
      <w:r>
        <w:rPr>
          <w:rFonts w:ascii="Calibri" w:hAnsi="Calibri" w:cs="F"/>
          <w:b/>
          <w:bCs/>
          <w:sz w:val="22"/>
          <w:szCs w:val="22"/>
          <w:lang w:eastAsia="en-US"/>
        </w:rPr>
        <w:t xml:space="preserve"> 6  </w:t>
      </w:r>
      <w:r>
        <w:rPr>
          <w:rFonts w:ascii="Calibri" w:hAnsi="Calibri" w:cs="F"/>
          <w:b/>
          <w:bCs/>
          <w:i/>
          <w:iCs/>
          <w:sz w:val="22"/>
          <w:szCs w:val="22"/>
          <w:lang w:eastAsia="en-US"/>
        </w:rPr>
        <w:t>Tipologie di iniziative</w:t>
      </w:r>
      <w:r>
        <w:rPr>
          <w:rFonts w:ascii="Calibri" w:hAnsi="Calibri" w:cs="F"/>
          <w:sz w:val="22"/>
          <w:szCs w:val="22"/>
          <w:lang w:eastAsia="en-US"/>
        </w:rPr>
        <w:t xml:space="preserve"> (</w:t>
      </w:r>
      <w:r>
        <w:rPr>
          <w:rFonts w:ascii="Calibri" w:hAnsi="Calibri" w:cs="F"/>
          <w:i/>
          <w:iCs/>
          <w:sz w:val="22"/>
          <w:szCs w:val="22"/>
          <w:lang w:eastAsia="en-US"/>
        </w:rPr>
        <w:t>Costruire partnership, Fornire politiche pubbliche, Rafforzare e valorizzare le persone, Facilitare le transizioni, Integrare i gruppi svantaggiati, Ridisegnare i modelli di business e le catene del valore</w:t>
      </w:r>
      <w:r>
        <w:rPr>
          <w:rFonts w:ascii="Calibri" w:hAnsi="Calibri" w:cs="F"/>
          <w:sz w:val="22"/>
          <w:szCs w:val="22"/>
          <w:lang w:eastAsia="en-US"/>
        </w:rPr>
        <w:t xml:space="preserve">) e </w:t>
      </w:r>
      <w:r>
        <w:rPr>
          <w:rFonts w:ascii="Calibri" w:hAnsi="Calibri" w:cs="F"/>
          <w:b/>
          <w:bCs/>
          <w:sz w:val="22"/>
          <w:szCs w:val="22"/>
          <w:lang w:eastAsia="en-US"/>
        </w:rPr>
        <w:t>16 Focus tematici</w:t>
      </w:r>
      <w:r>
        <w:rPr>
          <w:rFonts w:ascii="Calibri" w:hAnsi="Calibri" w:cs="F"/>
          <w:sz w:val="22"/>
          <w:szCs w:val="22"/>
          <w:lang w:eastAsia="en-US"/>
        </w:rPr>
        <w:t xml:space="preserve"> riconducibili alle aree di investimento del Fondo sociale europeo (occupazione, inclusione, istruzione e formazione).</w:t>
      </w:r>
    </w:p>
    <w:p w14:paraId="79161C3E" w14:textId="77777777" w:rsidR="0057704A" w:rsidRDefault="004A66A7">
      <w:pPr>
        <w:pStyle w:val="NormaleWeb"/>
        <w:spacing w:before="0" w:after="0"/>
        <w:jc w:val="both"/>
      </w:pPr>
      <w:r>
        <w:rPr>
          <w:rFonts w:ascii="Calibri" w:hAnsi="Calibri" w:cs="F"/>
          <w:sz w:val="22"/>
          <w:szCs w:val="22"/>
          <w:lang w:eastAsia="en-US"/>
        </w:rPr>
        <w:t>Inoltre, la piattaforma consente anche di individuare le organizzazioni di innovazione sociale di tutti gli Stati Membri, ai fini di eventuali partnership.</w:t>
      </w:r>
    </w:p>
    <w:p w14:paraId="79161C3F" w14:textId="77777777" w:rsidR="0057704A" w:rsidRDefault="0057704A">
      <w:pPr>
        <w:pStyle w:val="NormaleWeb"/>
        <w:spacing w:before="0" w:after="0"/>
        <w:jc w:val="both"/>
        <w:rPr>
          <w:rFonts w:ascii="Calibri" w:hAnsi="Calibri" w:cs="F"/>
          <w:sz w:val="22"/>
          <w:szCs w:val="22"/>
          <w:lang w:eastAsia="en-US"/>
        </w:rPr>
      </w:pPr>
    </w:p>
    <w:p w14:paraId="79161C40" w14:textId="77777777" w:rsidR="0057704A" w:rsidRDefault="004A66A7">
      <w:pPr>
        <w:pStyle w:val="NormaleWeb"/>
        <w:pBdr>
          <w:top w:val="single" w:sz="4" w:space="1" w:color="00000A"/>
          <w:left w:val="single" w:sz="4" w:space="4" w:color="00000A"/>
          <w:bottom w:val="single" w:sz="4" w:space="0" w:color="00000A"/>
          <w:right w:val="single" w:sz="4" w:space="4" w:color="00000A"/>
        </w:pBdr>
        <w:spacing w:before="0" w:after="0"/>
        <w:jc w:val="both"/>
      </w:pPr>
      <w:r>
        <w:rPr>
          <w:rFonts w:ascii="Calibri" w:hAnsi="Calibri" w:cs="Calibri"/>
          <w:sz w:val="22"/>
          <w:szCs w:val="22"/>
        </w:rPr>
        <w:t>Sulla base di quanto precisato sul sito web che contiene la piattaforma, i promotori di progetto o gli stakeholder possono caricare direttamente nel database le proprie iniziative di innovazione sociale e/o il proprio profilo organizzativo, anche se sembrerebbe necessaria una preliminare validazione da parte di un soggetto nazionale che attesti la loro qualità e adeguatezza, come ad esempio il Centro nazionale di competenza per l'innovazione sociale (le iniziative di innovazione sociale a livello transnazionale e dell'UE saranno convalidate dal Centro europeo di competenza per l'innovazione sociale).</w:t>
      </w:r>
    </w:p>
    <w:p w14:paraId="79161C41" w14:textId="77777777" w:rsidR="0057704A" w:rsidRDefault="004A66A7">
      <w:pPr>
        <w:pStyle w:val="NormaleWeb"/>
        <w:pBdr>
          <w:top w:val="single" w:sz="4" w:space="1" w:color="00000A"/>
          <w:left w:val="single" w:sz="4" w:space="4" w:color="00000A"/>
          <w:bottom w:val="single" w:sz="4" w:space="0" w:color="00000A"/>
          <w:right w:val="single" w:sz="4" w:space="4" w:color="00000A"/>
        </w:pBdr>
        <w:spacing w:before="0" w:after="0"/>
        <w:jc w:val="both"/>
      </w:pPr>
      <w:r>
        <w:rPr>
          <w:rFonts w:ascii="Calibri" w:hAnsi="Calibri" w:cs="Calibri"/>
          <w:sz w:val="22"/>
          <w:szCs w:val="22"/>
        </w:rPr>
        <w:t>Ad ogni modo, anche al fine di agevolare l’eventuale pubblicazione nella piattaforma, potrebbe essere utile considerare l’opportunità per le AdG regionali di classificare gli interventi che finanzieranno a valere sui PR sulla base di una delle sei Tipologie di iniziative definite nella piattaforma europea.</w:t>
      </w:r>
    </w:p>
    <w:p w14:paraId="79161C42" w14:textId="77777777" w:rsidR="0057704A" w:rsidRDefault="004A66A7">
      <w:pPr>
        <w:pStyle w:val="pf0"/>
        <w:jc w:val="both"/>
      </w:pPr>
      <w:r>
        <w:rPr>
          <w:rFonts w:ascii="Calibri" w:hAnsi="Calibri" w:cs="F"/>
          <w:sz w:val="22"/>
          <w:szCs w:val="22"/>
          <w:lang w:eastAsia="en-US"/>
        </w:rPr>
        <w:t>Attualmente sono contenuti nella piattaforma circa 150 casi studio di innovazione sociale</w:t>
      </w:r>
      <w:r>
        <w:rPr>
          <w:rFonts w:ascii="Calibri" w:hAnsi="Calibri" w:cs="Calibri"/>
          <w:sz w:val="22"/>
          <w:szCs w:val="22"/>
          <w:lang w:eastAsia="en-US"/>
        </w:rPr>
        <w:t xml:space="preserve">. Ai fini del presente lavoro, è stata operata una selezione di </w:t>
      </w:r>
      <w:r>
        <w:rPr>
          <w:rFonts w:ascii="Calibri" w:hAnsi="Calibri" w:cs="Calibri"/>
          <w:b/>
          <w:bCs/>
          <w:sz w:val="22"/>
          <w:szCs w:val="22"/>
        </w:rPr>
        <w:t>17 iniziative</w:t>
      </w:r>
      <w:r>
        <w:rPr>
          <w:rStyle w:val="Rimandonotaapidipagina"/>
        </w:rPr>
        <w:footnoteReference w:id="5"/>
      </w:r>
      <w:r>
        <w:rPr>
          <w:rFonts w:ascii="Calibri" w:hAnsi="Calibri" w:cs="Calibri"/>
          <w:b/>
          <w:bCs/>
          <w:sz w:val="22"/>
          <w:szCs w:val="22"/>
        </w:rPr>
        <w:t xml:space="preserve"> sostenute dal FSE/FSE+, </w:t>
      </w:r>
      <w:r>
        <w:rPr>
          <w:rFonts w:ascii="Calibri" w:hAnsi="Calibri" w:cs="Calibri"/>
          <w:sz w:val="22"/>
          <w:szCs w:val="22"/>
        </w:rPr>
        <w:t>rappresentative delle principali aree tematiche individuate (</w:t>
      </w:r>
      <w:r>
        <w:rPr>
          <w:rFonts w:ascii="Calibri" w:hAnsi="Calibri" w:cs="Calibri"/>
          <w:i/>
          <w:iCs/>
          <w:sz w:val="22"/>
          <w:szCs w:val="22"/>
        </w:rPr>
        <w:t>promozione e sostegno per le imprese, sostegno all’occupazione dei giovani, inclusione dei gruppi vulnerabili, Assistenza sociale temporanea su misura, sviluppo locale partecipativo, social housing, pari opportunità e antidiscriminazione</w:t>
      </w:r>
      <w:r>
        <w:rPr>
          <w:rFonts w:ascii="Calibri" w:hAnsi="Calibri" w:cs="Calibri"/>
          <w:sz w:val="22"/>
          <w:szCs w:val="22"/>
        </w:rPr>
        <w:t>) e selezionate tra quelle dotate di una documentazione completa del “caso studio”, in cui vengono esplicitati gli elementi significativi che caratterizzano l’intervento: i problemi affrontati, le soluzioni innovative, i principali risultati e il potenziale di mainstreaming/scaling up.</w:t>
      </w:r>
    </w:p>
    <w:tbl>
      <w:tblPr>
        <w:tblW w:w="9615" w:type="dxa"/>
        <w:tblInd w:w="-131" w:type="dxa"/>
        <w:tblLayout w:type="fixed"/>
        <w:tblCellMar>
          <w:left w:w="10" w:type="dxa"/>
          <w:right w:w="10" w:type="dxa"/>
        </w:tblCellMar>
        <w:tblLook w:val="04A0" w:firstRow="1" w:lastRow="0" w:firstColumn="1" w:lastColumn="0" w:noHBand="0" w:noVBand="1"/>
      </w:tblPr>
      <w:tblGrid>
        <w:gridCol w:w="9615"/>
      </w:tblGrid>
      <w:tr w:rsidR="0057704A" w14:paraId="79161C44"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4472C4"/>
            <w:tcMar>
              <w:top w:w="0" w:type="dxa"/>
              <w:left w:w="108" w:type="dxa"/>
              <w:bottom w:w="0" w:type="dxa"/>
              <w:right w:w="108" w:type="dxa"/>
            </w:tcMar>
          </w:tcPr>
          <w:p w14:paraId="79161C43" w14:textId="77777777" w:rsidR="0057704A" w:rsidRDefault="004A66A7">
            <w:pPr>
              <w:pStyle w:val="Paragrafoelenco"/>
              <w:numPr>
                <w:ilvl w:val="0"/>
                <w:numId w:val="27"/>
              </w:numPr>
              <w:spacing w:after="0" w:line="240" w:lineRule="auto"/>
              <w:jc w:val="center"/>
            </w:pPr>
            <w:r>
              <w:rPr>
                <w:rFonts w:cs="Calibri"/>
                <w:b/>
                <w:bCs/>
                <w:color w:val="00000A"/>
                <w:sz w:val="20"/>
                <w:szCs w:val="20"/>
              </w:rPr>
              <w:t>Promozione e sostegno alle imprese</w:t>
            </w:r>
          </w:p>
        </w:tc>
      </w:tr>
      <w:tr w:rsidR="0057704A" w14:paraId="79161C48"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00B0F0"/>
            <w:tcMar>
              <w:top w:w="0" w:type="dxa"/>
              <w:left w:w="108" w:type="dxa"/>
              <w:bottom w:w="0" w:type="dxa"/>
              <w:right w:w="108" w:type="dxa"/>
            </w:tcMar>
          </w:tcPr>
          <w:p w14:paraId="79161C45" w14:textId="77777777" w:rsidR="0057704A" w:rsidRDefault="004A66A7">
            <w:pPr>
              <w:pStyle w:val="Standard"/>
              <w:spacing w:after="0" w:line="240" w:lineRule="auto"/>
              <w:jc w:val="center"/>
            </w:pPr>
            <w:r>
              <w:rPr>
                <w:rFonts w:cs="Calibri"/>
                <w:b/>
                <w:bCs/>
                <w:color w:val="000000"/>
                <w:sz w:val="20"/>
                <w:szCs w:val="20"/>
                <w:lang w:eastAsia="it-IT"/>
              </w:rPr>
              <w:t>BELGIO</w:t>
            </w:r>
          </w:p>
          <w:p w14:paraId="79161C46" w14:textId="77777777" w:rsidR="0057704A" w:rsidRDefault="004A66A7">
            <w:pPr>
              <w:pStyle w:val="Standard"/>
              <w:spacing w:after="0" w:line="240" w:lineRule="auto"/>
              <w:jc w:val="center"/>
            </w:pPr>
            <w:r>
              <w:rPr>
                <w:rFonts w:cs="Calibri"/>
                <w:b/>
                <w:bCs/>
                <w:color w:val="000000"/>
                <w:sz w:val="20"/>
                <w:szCs w:val="20"/>
                <w:lang w:eastAsia="it-IT"/>
              </w:rPr>
              <w:t>JOB YOUR SELF</w:t>
            </w:r>
          </w:p>
          <w:p w14:paraId="79161C47" w14:textId="77777777" w:rsidR="0057704A" w:rsidRDefault="004A66A7">
            <w:pPr>
              <w:pStyle w:val="Standard"/>
              <w:spacing w:after="0" w:line="240" w:lineRule="auto"/>
              <w:jc w:val="center"/>
            </w:pPr>
            <w:r>
              <w:rPr>
                <w:rFonts w:cs="Calibri"/>
                <w:b/>
                <w:bCs/>
                <w:color w:val="000000"/>
                <w:sz w:val="20"/>
                <w:szCs w:val="20"/>
                <w:lang w:eastAsia="it-IT"/>
              </w:rPr>
              <w:t>Aiutare gli imprenditori a far decollare le loro idee in modo socialmente innovativo</w:t>
            </w:r>
          </w:p>
        </w:tc>
      </w:tr>
      <w:tr w:rsidR="0057704A" w14:paraId="79161C4E"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79161C49" w14:textId="77777777" w:rsidR="0057704A" w:rsidRPr="00491254" w:rsidRDefault="004A66A7">
            <w:pPr>
              <w:pStyle w:val="Standard"/>
              <w:spacing w:after="0" w:line="240" w:lineRule="auto"/>
              <w:jc w:val="both"/>
              <w:rPr>
                <w:rFonts w:cs="Calibri"/>
              </w:rPr>
            </w:pPr>
            <w:r w:rsidRPr="00491254">
              <w:rPr>
                <w:rFonts w:cs="Calibri"/>
                <w:color w:val="5B9BD5"/>
                <w:sz w:val="20"/>
                <w:szCs w:val="20"/>
                <w:lang w:eastAsia="it-IT"/>
              </w:rPr>
              <w:t xml:space="preserve">Problemi affrontati. </w:t>
            </w:r>
            <w:r w:rsidRPr="00491254">
              <w:rPr>
                <w:rFonts w:cs="Calibri"/>
                <w:sz w:val="20"/>
                <w:szCs w:val="20"/>
                <w:lang w:eastAsia="it-IT"/>
              </w:rPr>
              <w:t>Assenza degli strumenti e del know-how necessari per avviare un'impresa di successo, anche quando l'idea imprenditoriale è buona. I motivi sono vari, dall'insufficienza delle risorse finanziarie, alla mancanza di competenze specifiche e conoscenze aziendali, all'assenza di reti professionali e sociali. Queste sfide sono spesso più evidenti per i gruppi più vulnerabili, come le persone con un passato di disoccupazione o migrazione o i giovani con esperienza professionale limitata.</w:t>
            </w:r>
          </w:p>
          <w:p w14:paraId="79161C4A" w14:textId="5BEE17C3" w:rsidR="0057704A" w:rsidRPr="00491254" w:rsidRDefault="004A66A7">
            <w:pPr>
              <w:pStyle w:val="Standard"/>
              <w:spacing w:after="0" w:line="240" w:lineRule="auto"/>
              <w:jc w:val="both"/>
              <w:rPr>
                <w:rFonts w:asciiTheme="minorHAnsi" w:hAnsiTheme="minorHAnsi" w:cstheme="minorHAnsi"/>
              </w:rPr>
            </w:pPr>
            <w:r w:rsidRPr="00491254">
              <w:rPr>
                <w:rFonts w:cs="Calibri"/>
                <w:color w:val="5B9BD5"/>
                <w:sz w:val="20"/>
                <w:szCs w:val="20"/>
                <w:lang w:eastAsia="it-IT"/>
              </w:rPr>
              <w:t xml:space="preserve">Soluzioni Innovative. </w:t>
            </w:r>
            <w:proofErr w:type="spellStart"/>
            <w:r w:rsidRPr="00491254">
              <w:rPr>
                <w:rFonts w:cs="Calibri"/>
                <w:i/>
                <w:iCs/>
                <w:color w:val="5B9BD5"/>
                <w:sz w:val="20"/>
                <w:szCs w:val="20"/>
                <w:lang w:eastAsia="it-IT"/>
              </w:rPr>
              <w:t>J</w:t>
            </w:r>
            <w:r w:rsidRPr="00491254">
              <w:rPr>
                <w:rFonts w:cs="Calibri"/>
                <w:i/>
                <w:iCs/>
                <w:sz w:val="20"/>
                <w:szCs w:val="20"/>
                <w:lang w:eastAsia="it-IT"/>
              </w:rPr>
              <w:t>obYourself</w:t>
            </w:r>
            <w:proofErr w:type="spellEnd"/>
            <w:r w:rsidRPr="00491254">
              <w:rPr>
                <w:rFonts w:cs="Calibri"/>
                <w:sz w:val="20"/>
                <w:szCs w:val="20"/>
                <w:lang w:eastAsia="it-IT"/>
              </w:rPr>
              <w:t>, insieme alle sue cooperative (</w:t>
            </w:r>
            <w:proofErr w:type="spellStart"/>
            <w:r w:rsidRPr="00491254">
              <w:rPr>
                <w:rFonts w:cs="Calibri"/>
                <w:sz w:val="20"/>
                <w:szCs w:val="20"/>
                <w:lang w:eastAsia="it-IT"/>
              </w:rPr>
              <w:t>JobYourself</w:t>
            </w:r>
            <w:proofErr w:type="spellEnd"/>
            <w:r w:rsidRPr="00491254">
              <w:rPr>
                <w:rFonts w:cs="Calibri"/>
                <w:sz w:val="20"/>
                <w:szCs w:val="20"/>
                <w:lang w:eastAsia="it-IT"/>
              </w:rPr>
              <w:t xml:space="preserve"> Coop e </w:t>
            </w:r>
            <w:proofErr w:type="spellStart"/>
            <w:r w:rsidRPr="00491254">
              <w:rPr>
                <w:rFonts w:cs="Calibri"/>
                <w:sz w:val="20"/>
                <w:szCs w:val="20"/>
                <w:lang w:eastAsia="it-IT"/>
              </w:rPr>
              <w:t>JobYourself</w:t>
            </w:r>
            <w:proofErr w:type="spellEnd"/>
            <w:r w:rsidRPr="00491254">
              <w:rPr>
                <w:rFonts w:cs="Calibri"/>
                <w:sz w:val="20"/>
                <w:szCs w:val="20"/>
                <w:lang w:eastAsia="it-IT"/>
              </w:rPr>
              <w:t xml:space="preserve"> </w:t>
            </w:r>
            <w:proofErr w:type="spellStart"/>
            <w:r w:rsidRPr="00491254">
              <w:rPr>
                <w:rFonts w:cs="Calibri"/>
                <w:sz w:val="20"/>
                <w:szCs w:val="20"/>
                <w:lang w:eastAsia="it-IT"/>
              </w:rPr>
              <w:t>Baticrea</w:t>
            </w:r>
            <w:proofErr w:type="spellEnd"/>
            <w:r w:rsidRPr="00491254">
              <w:rPr>
                <w:rFonts w:cs="Calibri"/>
                <w:sz w:val="20"/>
                <w:szCs w:val="20"/>
                <w:lang w:eastAsia="it-IT"/>
              </w:rPr>
              <w:t xml:space="preserve">), fornisce un </w:t>
            </w:r>
            <w:r w:rsidRPr="00491254">
              <w:rPr>
                <w:rFonts w:cs="Calibri"/>
                <w:i/>
                <w:iCs/>
                <w:sz w:val="20"/>
                <w:szCs w:val="20"/>
                <w:lang w:eastAsia="it-IT"/>
              </w:rPr>
              <w:t>'incubatore'</w:t>
            </w:r>
            <w:r w:rsidRPr="00491254">
              <w:rPr>
                <w:rFonts w:cs="Calibri"/>
                <w:sz w:val="20"/>
                <w:szCs w:val="20"/>
                <w:lang w:eastAsia="it-IT"/>
              </w:rPr>
              <w:t xml:space="preserve"> per gli imprenditori che vogliono avviare un'attività indipendente. Il progetto facilita il contatto tra i beneficiari che sono collegati in una rete dove possono scambiarsi liberamente idee e buone pratiche, ispirarsi a vicenda e lasciarsi ispirare. </w:t>
            </w:r>
            <w:proofErr w:type="gramStart"/>
            <w:r w:rsidRPr="00491254">
              <w:rPr>
                <w:rFonts w:cs="Calibri"/>
                <w:sz w:val="20"/>
                <w:szCs w:val="20"/>
                <w:lang w:eastAsia="it-IT"/>
              </w:rPr>
              <w:t>Il team</w:t>
            </w:r>
            <w:proofErr w:type="gramEnd"/>
            <w:r w:rsidRPr="00491254">
              <w:rPr>
                <w:rFonts w:cs="Calibri"/>
                <w:sz w:val="20"/>
                <w:szCs w:val="20"/>
                <w:lang w:eastAsia="it-IT"/>
              </w:rPr>
              <w:t xml:space="preserve"> di </w:t>
            </w:r>
            <w:proofErr w:type="spellStart"/>
            <w:r w:rsidRPr="00491254">
              <w:rPr>
                <w:rFonts w:cs="Calibri"/>
                <w:sz w:val="20"/>
                <w:szCs w:val="20"/>
                <w:lang w:eastAsia="it-IT"/>
              </w:rPr>
              <w:t>JobYourself</w:t>
            </w:r>
            <w:proofErr w:type="spellEnd"/>
            <w:r w:rsidRPr="00491254">
              <w:rPr>
                <w:rFonts w:cs="Calibri"/>
                <w:sz w:val="20"/>
                <w:szCs w:val="20"/>
                <w:lang w:eastAsia="it-IT"/>
              </w:rPr>
              <w:t xml:space="preserve"> assiste i futuri imprenditori attraverso le diverse fasi coinvolte nella creazione di un'impresa, dalla fase di concettualizzazione alla verifica di un'idea imprenditoriale, mediante servizi di consulenza, coaching e supporto amministrativo, e modulando l’assistenza per ciascun beneficiario. Durante il </w:t>
            </w:r>
            <w:r w:rsidRPr="00491254">
              <w:rPr>
                <w:rFonts w:asciiTheme="minorHAnsi" w:hAnsiTheme="minorHAnsi" w:cstheme="minorHAnsi"/>
                <w:sz w:val="20"/>
                <w:szCs w:val="20"/>
                <w:lang w:eastAsia="it-IT"/>
              </w:rPr>
              <w:t xml:space="preserve">periodo di prova, i beneficiari possono svolgere la loro attività - per un massimo di 18 mesi - utilizzando la cooperativa </w:t>
            </w:r>
            <w:r w:rsidRPr="00491254">
              <w:rPr>
                <w:rFonts w:asciiTheme="minorHAnsi" w:hAnsiTheme="minorHAnsi" w:cstheme="minorHAnsi"/>
                <w:sz w:val="20"/>
                <w:szCs w:val="20"/>
                <w:lang w:eastAsia="it-IT"/>
              </w:rPr>
              <w:lastRenderedPageBreak/>
              <w:t xml:space="preserve">come “persona giuridica”. Questo è un aiuto significativo e innovativo, in quanto </w:t>
            </w:r>
            <w:r w:rsidR="00491254" w:rsidRPr="00491254">
              <w:rPr>
                <w:rFonts w:asciiTheme="minorHAnsi" w:hAnsiTheme="minorHAnsi" w:cstheme="minorHAnsi"/>
                <w:sz w:val="20"/>
                <w:szCs w:val="20"/>
                <w:lang w:eastAsia="it-IT"/>
              </w:rPr>
              <w:t>consente di</w:t>
            </w:r>
            <w:r w:rsidRPr="00491254">
              <w:rPr>
                <w:rFonts w:asciiTheme="minorHAnsi" w:hAnsiTheme="minorHAnsi" w:cstheme="minorHAnsi"/>
                <w:sz w:val="20"/>
                <w:szCs w:val="20"/>
                <w:lang w:eastAsia="it-IT"/>
              </w:rPr>
              <w:t xml:space="preserve"> non farsi carico nella prima fase dei processi amministrativi per registrarsi come imprenditori indipendenti e di valutare se il prodotto/servizio possa avere successo </w:t>
            </w:r>
            <w:proofErr w:type="gramStart"/>
            <w:r w:rsidRPr="00491254">
              <w:rPr>
                <w:rFonts w:asciiTheme="minorHAnsi" w:hAnsiTheme="minorHAnsi" w:cstheme="minorHAnsi"/>
                <w:sz w:val="20"/>
                <w:szCs w:val="20"/>
                <w:lang w:eastAsia="it-IT"/>
              </w:rPr>
              <w:t>e</w:t>
            </w:r>
            <w:proofErr w:type="gramEnd"/>
            <w:r w:rsidRPr="00491254">
              <w:rPr>
                <w:rFonts w:asciiTheme="minorHAnsi" w:hAnsiTheme="minorHAnsi" w:cstheme="minorHAnsi"/>
                <w:sz w:val="20"/>
                <w:szCs w:val="20"/>
                <w:lang w:eastAsia="it-IT"/>
              </w:rPr>
              <w:t xml:space="preserve"> essere effettivamente redditizio. Il secondo tipo di supporto fornito da </w:t>
            </w:r>
            <w:proofErr w:type="spellStart"/>
            <w:r w:rsidRPr="00491254">
              <w:rPr>
                <w:rFonts w:asciiTheme="minorHAnsi" w:hAnsiTheme="minorHAnsi" w:cstheme="minorHAnsi"/>
                <w:sz w:val="20"/>
                <w:szCs w:val="20"/>
                <w:lang w:eastAsia="it-IT"/>
              </w:rPr>
              <w:t>JobYourself</w:t>
            </w:r>
            <w:proofErr w:type="spellEnd"/>
            <w:r w:rsidRPr="00491254">
              <w:rPr>
                <w:rFonts w:asciiTheme="minorHAnsi" w:hAnsiTheme="minorHAnsi" w:cstheme="minorHAnsi"/>
                <w:sz w:val="20"/>
                <w:szCs w:val="20"/>
                <w:lang w:eastAsia="it-IT"/>
              </w:rPr>
              <w:t xml:space="preserve"> è il know-how tecnico correlato allo specifico prodotto.</w:t>
            </w:r>
          </w:p>
          <w:p w14:paraId="79161C4B" w14:textId="77777777" w:rsidR="0057704A" w:rsidRPr="00491254" w:rsidRDefault="004A66A7">
            <w:pPr>
              <w:pStyle w:val="Standard"/>
              <w:spacing w:after="0" w:line="240" w:lineRule="auto"/>
              <w:jc w:val="both"/>
              <w:rPr>
                <w:rFonts w:asciiTheme="minorHAnsi" w:hAnsiTheme="minorHAnsi" w:cstheme="minorHAnsi"/>
              </w:rPr>
            </w:pPr>
            <w:r w:rsidRPr="00491254">
              <w:rPr>
                <w:rFonts w:asciiTheme="minorHAnsi" w:hAnsiTheme="minorHAnsi" w:cstheme="minorHAnsi"/>
                <w:color w:val="5B9BD5"/>
                <w:sz w:val="20"/>
                <w:szCs w:val="20"/>
                <w:lang w:eastAsia="it-IT"/>
              </w:rPr>
              <w:t xml:space="preserve">Principali risultati e benefici. </w:t>
            </w:r>
            <w:r w:rsidRPr="00491254">
              <w:rPr>
                <w:rFonts w:asciiTheme="minorHAnsi" w:hAnsiTheme="minorHAnsi" w:cstheme="minorHAnsi"/>
                <w:sz w:val="20"/>
                <w:szCs w:val="20"/>
                <w:lang w:eastAsia="it-IT"/>
              </w:rPr>
              <w:t>Una valutazione del programma ha mostrato che otto quartieri sono stati considerati più sostenibili e sempre più indipendenti come risultato della partecipazione allo stesso e non avranno, quindi, bisogno di sostegno finanziario dopo il 2020.</w:t>
            </w:r>
          </w:p>
          <w:p w14:paraId="79161C4C" w14:textId="77777777" w:rsidR="0057704A" w:rsidRPr="00491254" w:rsidRDefault="004A66A7">
            <w:pPr>
              <w:pStyle w:val="Standard"/>
              <w:spacing w:after="0" w:line="240" w:lineRule="auto"/>
              <w:jc w:val="both"/>
              <w:rPr>
                <w:rFonts w:asciiTheme="minorHAnsi" w:hAnsiTheme="minorHAnsi" w:cstheme="minorHAnsi"/>
              </w:rPr>
            </w:pPr>
            <w:r w:rsidRPr="00491254">
              <w:rPr>
                <w:rFonts w:asciiTheme="minorHAnsi" w:hAnsiTheme="minorHAnsi" w:cstheme="minorHAnsi"/>
                <w:color w:val="5B9BD5"/>
                <w:sz w:val="20"/>
                <w:szCs w:val="20"/>
                <w:lang w:eastAsia="it-IT"/>
              </w:rPr>
              <w:t xml:space="preserve">Potenziale di mainstreaming/scaling up. </w:t>
            </w:r>
            <w:proofErr w:type="spellStart"/>
            <w:r w:rsidRPr="00491254">
              <w:rPr>
                <w:rFonts w:asciiTheme="minorHAnsi" w:hAnsiTheme="minorHAnsi" w:cstheme="minorHAnsi"/>
                <w:sz w:val="20"/>
                <w:szCs w:val="20"/>
                <w:lang w:eastAsia="it-IT"/>
              </w:rPr>
              <w:t>JobYourself</w:t>
            </w:r>
            <w:proofErr w:type="spellEnd"/>
            <w:r w:rsidRPr="00491254">
              <w:rPr>
                <w:rFonts w:asciiTheme="minorHAnsi" w:hAnsiTheme="minorHAnsi" w:cstheme="minorHAnsi"/>
                <w:sz w:val="20"/>
                <w:szCs w:val="20"/>
                <w:lang w:eastAsia="it-IT"/>
              </w:rPr>
              <w:t xml:space="preserve"> ha raggiunto risultati significativi. Nella regione sono state create 400 nuove imprese e 207 persone hanno trovato lavoro. 250 imprenditori stanno attualmente testando le loro idee, mentre 300 imprenditori stanno preparando i loro progetti e vengono seguiti.</w:t>
            </w:r>
          </w:p>
          <w:p w14:paraId="79161C4D" w14:textId="77777777" w:rsidR="0057704A" w:rsidRDefault="004A66A7">
            <w:pPr>
              <w:pStyle w:val="Standard"/>
              <w:spacing w:after="0" w:line="240" w:lineRule="auto"/>
              <w:jc w:val="both"/>
            </w:pPr>
            <w:r w:rsidRPr="00491254">
              <w:rPr>
                <w:rFonts w:asciiTheme="minorHAnsi" w:hAnsiTheme="minorHAnsi" w:cstheme="minorHAnsi"/>
                <w:sz w:val="20"/>
                <w:szCs w:val="20"/>
                <w:lang w:eastAsia="it-IT"/>
              </w:rPr>
              <w:t xml:space="preserve">Secondo i rappresentanti del progetto </w:t>
            </w:r>
            <w:proofErr w:type="spellStart"/>
            <w:r w:rsidRPr="00491254">
              <w:rPr>
                <w:rFonts w:asciiTheme="minorHAnsi" w:hAnsiTheme="minorHAnsi" w:cstheme="minorHAnsi"/>
                <w:sz w:val="20"/>
                <w:szCs w:val="20"/>
                <w:lang w:eastAsia="it-IT"/>
              </w:rPr>
              <w:t>JobYourself</w:t>
            </w:r>
            <w:proofErr w:type="spellEnd"/>
            <w:r w:rsidRPr="00491254">
              <w:rPr>
                <w:rFonts w:asciiTheme="minorHAnsi" w:hAnsiTheme="minorHAnsi" w:cstheme="minorHAnsi"/>
                <w:sz w:val="20"/>
                <w:szCs w:val="20"/>
                <w:lang w:eastAsia="it-IT"/>
              </w:rPr>
              <w:t>, il progetto migliora l'occupabilità ed è quindi una buona esperienza anche per coloro che decidono di non creare la propria attività autonoma. "</w:t>
            </w:r>
          </w:p>
        </w:tc>
      </w:tr>
      <w:tr w:rsidR="0057704A" w14:paraId="79161C52"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00B0F0"/>
            <w:tcMar>
              <w:top w:w="0" w:type="dxa"/>
              <w:left w:w="108" w:type="dxa"/>
              <w:bottom w:w="0" w:type="dxa"/>
              <w:right w:w="108" w:type="dxa"/>
            </w:tcMar>
          </w:tcPr>
          <w:p w14:paraId="79161C4F" w14:textId="77777777" w:rsidR="0057704A" w:rsidRDefault="004A66A7">
            <w:pPr>
              <w:pStyle w:val="Standard"/>
              <w:spacing w:after="0" w:line="240" w:lineRule="auto"/>
              <w:jc w:val="center"/>
            </w:pPr>
            <w:r>
              <w:rPr>
                <w:rFonts w:cs="Calibri"/>
                <w:b/>
                <w:bCs/>
                <w:color w:val="00000A"/>
                <w:sz w:val="20"/>
                <w:szCs w:val="20"/>
                <w:lang w:eastAsia="it-IT"/>
              </w:rPr>
              <w:lastRenderedPageBreak/>
              <w:t>OLANDA (Rotterdam)</w:t>
            </w:r>
          </w:p>
          <w:p w14:paraId="79161C50" w14:textId="77777777" w:rsidR="0057704A" w:rsidRDefault="004A66A7">
            <w:pPr>
              <w:pStyle w:val="Standard"/>
              <w:spacing w:after="0" w:line="240" w:lineRule="auto"/>
              <w:jc w:val="center"/>
            </w:pPr>
            <w:proofErr w:type="spellStart"/>
            <w:r>
              <w:rPr>
                <w:rFonts w:cs="Calibri"/>
                <w:b/>
                <w:bCs/>
                <w:color w:val="00000A"/>
                <w:sz w:val="20"/>
                <w:szCs w:val="20"/>
                <w:lang w:eastAsia="it-IT"/>
              </w:rPr>
              <w:t>Opportunities</w:t>
            </w:r>
            <w:proofErr w:type="spellEnd"/>
            <w:r>
              <w:rPr>
                <w:rFonts w:cs="Calibri"/>
                <w:b/>
                <w:bCs/>
                <w:color w:val="00000A"/>
                <w:sz w:val="20"/>
                <w:szCs w:val="20"/>
                <w:lang w:eastAsia="it-IT"/>
              </w:rPr>
              <w:t xml:space="preserve"> for West</w:t>
            </w:r>
          </w:p>
          <w:p w14:paraId="79161C51" w14:textId="77777777" w:rsidR="0057704A" w:rsidRDefault="004A66A7">
            <w:pPr>
              <w:pStyle w:val="Standard"/>
              <w:spacing w:after="0" w:line="240" w:lineRule="auto"/>
              <w:jc w:val="both"/>
            </w:pPr>
            <w:r>
              <w:rPr>
                <w:rFonts w:cs="Calibri"/>
                <w:b/>
                <w:bCs/>
                <w:color w:val="00000A"/>
                <w:sz w:val="20"/>
                <w:szCs w:val="20"/>
                <w:lang w:eastAsia="it-IT"/>
              </w:rPr>
              <w:t xml:space="preserve">II </w:t>
            </w:r>
            <w:r>
              <w:rPr>
                <w:rFonts w:cs="Calibri"/>
                <w:b/>
                <w:bCs/>
                <w:i/>
                <w:iCs/>
                <w:color w:val="00000A"/>
                <w:sz w:val="20"/>
                <w:szCs w:val="20"/>
                <w:lang w:eastAsia="it-IT"/>
              </w:rPr>
              <w:t>Sostenere lo sviluppo del business e l'innovazione nelle PMI attraverso le partnership</w:t>
            </w:r>
          </w:p>
        </w:tc>
      </w:tr>
      <w:tr w:rsidR="0057704A" w14:paraId="79161C58"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79161C53" w14:textId="77777777" w:rsidR="0057704A" w:rsidRPr="00491254" w:rsidRDefault="004A66A7">
            <w:pPr>
              <w:pStyle w:val="Standard"/>
              <w:spacing w:after="0" w:line="240" w:lineRule="auto"/>
              <w:jc w:val="both"/>
              <w:rPr>
                <w:rFonts w:cs="Calibri"/>
              </w:rPr>
            </w:pPr>
            <w:r w:rsidRPr="00491254">
              <w:rPr>
                <w:rFonts w:cs="Calibri"/>
                <w:color w:val="5B9BD5"/>
                <w:sz w:val="20"/>
                <w:szCs w:val="20"/>
                <w:lang w:eastAsia="it-IT"/>
              </w:rPr>
              <w:t xml:space="preserve">Problemi affrontati. </w:t>
            </w:r>
            <w:r w:rsidRPr="00491254">
              <w:rPr>
                <w:rFonts w:cs="Calibri"/>
                <w:sz w:val="20"/>
                <w:szCs w:val="20"/>
                <w:lang w:eastAsia="it-IT"/>
              </w:rPr>
              <w:t>Tasso di disoccupazione doppio rispetto alla media nazionale. Discrepanza tra la domanda e l'offerta sul mercato del lavoro, con solo il 13% delle persone che trova lavoro dopo aver ricevuto prestazioni di assistenza sociale.</w:t>
            </w:r>
          </w:p>
          <w:p w14:paraId="79161C54" w14:textId="77777777" w:rsidR="0057704A" w:rsidRPr="00491254" w:rsidRDefault="004A66A7">
            <w:pPr>
              <w:pStyle w:val="Standard"/>
              <w:spacing w:after="0" w:line="240" w:lineRule="auto"/>
              <w:jc w:val="both"/>
              <w:rPr>
                <w:rFonts w:cs="Calibri"/>
              </w:rPr>
            </w:pPr>
            <w:r w:rsidRPr="00491254">
              <w:rPr>
                <w:rFonts w:cs="Calibri"/>
                <w:color w:val="5B9BD5"/>
                <w:sz w:val="20"/>
                <w:szCs w:val="20"/>
                <w:lang w:eastAsia="it-IT"/>
              </w:rPr>
              <w:t xml:space="preserve">Soluzioni Innovative. </w:t>
            </w:r>
            <w:r w:rsidRPr="00491254">
              <w:rPr>
                <w:rFonts w:cs="Calibri"/>
                <w:sz w:val="20"/>
                <w:szCs w:val="20"/>
                <w:lang w:eastAsia="it-IT"/>
              </w:rPr>
              <w:t>Il programma migliora il collegamento tra l'offerta di lavoro e la domanda di competenze fornendo finanziamenti diretti allo sviluppo delle imprese e all'innovazione, principalmente tra le PMI. Per essere ammissibili al finanziamento, i progetti devono coinvolgere le PMI e promuovere l'innovazione. Attraverso la sperimentazione e la ricerca, il programma KVWII cerca di costruire una base dati sul potenziale di lavoro, l'imprenditorialità e la pianificazione strategica del personale al fine di comprendere (e implementare ulteriormente) "ciò che funziona" nel rafforzare il lato della domanda di occupazione.</w:t>
            </w:r>
          </w:p>
          <w:p w14:paraId="79161C55" w14:textId="4199E6E9" w:rsidR="0057704A" w:rsidRPr="00491254" w:rsidRDefault="004A66A7">
            <w:pPr>
              <w:pStyle w:val="Standard"/>
              <w:spacing w:after="0" w:line="240" w:lineRule="auto"/>
              <w:jc w:val="both"/>
              <w:rPr>
                <w:rFonts w:cs="Calibri"/>
              </w:rPr>
            </w:pPr>
            <w:r w:rsidRPr="00491254">
              <w:rPr>
                <w:rFonts w:cs="Calibri"/>
                <w:sz w:val="20"/>
                <w:szCs w:val="20"/>
                <w:lang w:eastAsia="it-IT"/>
              </w:rPr>
              <w:t>Si segnala ad esempio il progetto "Slim Made</w:t>
            </w:r>
            <w:r w:rsidR="00491254" w:rsidRPr="00491254">
              <w:rPr>
                <w:rFonts w:cs="Calibri"/>
                <w:sz w:val="20"/>
                <w:szCs w:val="20"/>
                <w:lang w:eastAsia="it-IT"/>
              </w:rPr>
              <w:t>” (</w:t>
            </w:r>
            <w:r w:rsidRPr="00491254">
              <w:rPr>
                <w:rFonts w:cs="Calibri"/>
                <w:sz w:val="20"/>
                <w:szCs w:val="20"/>
                <w:lang w:eastAsia="it-IT"/>
              </w:rPr>
              <w:t xml:space="preserve">visto dalla comunità imprenditoriale delle PMI e si è svolto da marzo 2017 ad agosto 2020) L'aspetto innovativo del progetto derivava dal fatto che esperti accademici gestivano la formazione mentre i giovani erano già al lavoro, al fine di sviluppare una visione a lungo termine e più olistica per l'occupazione del “potenziale dipendente”, in un modo che fosse adattato alle esigenze del settore. Dal 2021 in poi (un anno dopo il completamento del progetto), le sette PMI partecipanti hanno fornito 21 nuovi posti di lavoro all'anno.  </w:t>
            </w:r>
          </w:p>
          <w:p w14:paraId="79161C56" w14:textId="54E0F89B" w:rsidR="0057704A" w:rsidRPr="00491254" w:rsidRDefault="004A66A7">
            <w:pPr>
              <w:pStyle w:val="Standard"/>
              <w:spacing w:after="0" w:line="240" w:lineRule="auto"/>
              <w:jc w:val="both"/>
              <w:rPr>
                <w:rFonts w:cs="Calibri"/>
              </w:rPr>
            </w:pPr>
            <w:r w:rsidRPr="00491254">
              <w:rPr>
                <w:rFonts w:cs="Calibri"/>
                <w:color w:val="5B9BD5"/>
                <w:sz w:val="20"/>
                <w:szCs w:val="20"/>
                <w:lang w:eastAsia="it-IT"/>
              </w:rPr>
              <w:t>Principali risultati e benefici</w:t>
            </w:r>
            <w:r w:rsidR="00507C3D" w:rsidRPr="00491254">
              <w:rPr>
                <w:rFonts w:cs="Calibri"/>
                <w:color w:val="5B9BD5"/>
                <w:sz w:val="20"/>
                <w:szCs w:val="20"/>
                <w:lang w:eastAsia="it-IT"/>
              </w:rPr>
              <w:t>.</w:t>
            </w:r>
            <w:r w:rsidRPr="00491254">
              <w:rPr>
                <w:rFonts w:cs="Calibri"/>
                <w:sz w:val="20"/>
                <w:szCs w:val="20"/>
                <w:lang w:eastAsia="it-IT"/>
              </w:rPr>
              <w:t xml:space="preserve"> La relazione annuale di KVWII (</w:t>
            </w:r>
            <w:r w:rsidR="00491254" w:rsidRPr="00491254">
              <w:rPr>
                <w:rFonts w:cs="Calibri"/>
                <w:sz w:val="20"/>
                <w:szCs w:val="20"/>
                <w:lang w:eastAsia="it-IT"/>
              </w:rPr>
              <w:t>2018)</w:t>
            </w:r>
            <w:r w:rsidRPr="00491254">
              <w:rPr>
                <w:rFonts w:cs="Calibri"/>
                <w:sz w:val="20"/>
                <w:szCs w:val="20"/>
                <w:lang w:eastAsia="it-IT"/>
              </w:rPr>
              <w:t xml:space="preserve"> ha indicato che, a metà dell'attuazione, c'erano 12 progetti in corso impegnati nello sviluppo del potenziale occupazionale che stavano dando un "buon contributo" allo squilibrio occupazionale della città.</w:t>
            </w:r>
          </w:p>
          <w:p w14:paraId="79161C57" w14:textId="671128BE" w:rsidR="0057704A" w:rsidRDefault="004A66A7">
            <w:pPr>
              <w:pStyle w:val="Standard"/>
              <w:spacing w:after="0" w:line="240" w:lineRule="auto"/>
              <w:jc w:val="both"/>
            </w:pPr>
            <w:r w:rsidRPr="00491254">
              <w:rPr>
                <w:rFonts w:cs="Calibri"/>
                <w:color w:val="5B9BD5"/>
                <w:sz w:val="20"/>
                <w:szCs w:val="20"/>
                <w:lang w:eastAsia="it-IT"/>
              </w:rPr>
              <w:t xml:space="preserve">Potenziale di mainstreaming/scaling up. </w:t>
            </w:r>
            <w:r w:rsidRPr="00491254">
              <w:rPr>
                <w:rFonts w:cs="Calibri"/>
                <w:sz w:val="20"/>
                <w:szCs w:val="20"/>
                <w:lang w:eastAsia="it-IT"/>
              </w:rPr>
              <w:t xml:space="preserve">Il programma ha un forte potenziale per essere trasferito in un altro contesto e KVWII è aperto al finanziamento di iniziative e beneficiari al di fuori dei Paesi Bassi utilizzando un importo stanziato pari al 15% del budget </w:t>
            </w:r>
            <w:r w:rsidR="00A54FEE" w:rsidRPr="00491254">
              <w:rPr>
                <w:rFonts w:cs="Calibri"/>
                <w:sz w:val="20"/>
                <w:szCs w:val="20"/>
                <w:lang w:eastAsia="it-IT"/>
              </w:rPr>
              <w:t>totale.</w:t>
            </w:r>
            <w:r w:rsidRPr="00491254">
              <w:rPr>
                <w:rFonts w:cs="Calibri"/>
                <w:sz w:val="20"/>
                <w:szCs w:val="20"/>
                <w:lang w:eastAsia="it-IT"/>
              </w:rPr>
              <w:t xml:space="preserve"> L'impatto previsto del finanziamento di progetti simili in altri paesi dell'UE è, in particolare, quello di aumentare e stimolare la collaborazione interregionale con un'attenzione continua ad affrontare il lato della domanda di occupazione in modi innovativi, guidati dal governo nazionale, dall'industria e dagli utenti finali</w:t>
            </w:r>
            <w:r>
              <w:rPr>
                <w:rFonts w:ascii="Calibri Light" w:hAnsi="Calibri Light" w:cs="Calibri"/>
                <w:sz w:val="20"/>
                <w:szCs w:val="20"/>
                <w:lang w:eastAsia="it-IT"/>
              </w:rPr>
              <w:t>.</w:t>
            </w:r>
          </w:p>
        </w:tc>
      </w:tr>
      <w:tr w:rsidR="0057704A" w14:paraId="79161C5A"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00B0F0"/>
            <w:tcMar>
              <w:top w:w="0" w:type="dxa"/>
              <w:left w:w="108" w:type="dxa"/>
              <w:bottom w:w="0" w:type="dxa"/>
              <w:right w:w="108" w:type="dxa"/>
            </w:tcMar>
          </w:tcPr>
          <w:p w14:paraId="79161C59" w14:textId="77777777" w:rsidR="0057704A" w:rsidRDefault="0057704A">
            <w:pPr>
              <w:pStyle w:val="Standard"/>
              <w:spacing w:after="0" w:line="240" w:lineRule="auto"/>
              <w:rPr>
                <w:rFonts w:ascii="Calibri Light" w:hAnsi="Calibri Light"/>
                <w:color w:val="000000"/>
                <w:sz w:val="20"/>
                <w:szCs w:val="20"/>
                <w:lang w:eastAsia="it-IT"/>
              </w:rPr>
            </w:pPr>
          </w:p>
        </w:tc>
      </w:tr>
      <w:tr w:rsidR="0057704A" w14:paraId="79161C5C"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E87572"/>
            <w:tcMar>
              <w:top w:w="0" w:type="dxa"/>
              <w:left w:w="108" w:type="dxa"/>
              <w:bottom w:w="0" w:type="dxa"/>
              <w:right w:w="108" w:type="dxa"/>
            </w:tcMar>
          </w:tcPr>
          <w:p w14:paraId="79161C5B" w14:textId="77777777" w:rsidR="0057704A" w:rsidRDefault="004A66A7">
            <w:pPr>
              <w:pStyle w:val="Paragrafoelenco"/>
              <w:numPr>
                <w:ilvl w:val="0"/>
                <w:numId w:val="27"/>
              </w:numPr>
              <w:spacing w:after="0" w:line="240" w:lineRule="auto"/>
              <w:jc w:val="center"/>
            </w:pPr>
            <w:bookmarkStart w:id="18" w:name="_Hlk125389676"/>
            <w:r>
              <w:rPr>
                <w:rFonts w:cs="Calibri"/>
                <w:b/>
                <w:bCs/>
                <w:color w:val="000000"/>
                <w:sz w:val="20"/>
                <w:szCs w:val="20"/>
                <w:lang w:eastAsia="it-IT"/>
              </w:rPr>
              <w:t>Sostegno all’occupazione dei Giovani</w:t>
            </w:r>
          </w:p>
        </w:tc>
      </w:tr>
      <w:tr w:rsidR="0057704A" w14:paraId="79161C5F"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2B2B0"/>
            <w:tcMar>
              <w:top w:w="0" w:type="dxa"/>
              <w:left w:w="108" w:type="dxa"/>
              <w:bottom w:w="0" w:type="dxa"/>
              <w:right w:w="108" w:type="dxa"/>
            </w:tcMar>
          </w:tcPr>
          <w:p w14:paraId="79161C5D" w14:textId="77777777" w:rsidR="0057704A" w:rsidRDefault="004A66A7">
            <w:pPr>
              <w:pStyle w:val="Standard"/>
              <w:spacing w:after="0" w:line="240" w:lineRule="auto"/>
              <w:jc w:val="center"/>
            </w:pPr>
            <w:r>
              <w:rPr>
                <w:rFonts w:cs="Calibri"/>
                <w:b/>
                <w:bCs/>
                <w:color w:val="000000"/>
                <w:sz w:val="20"/>
                <w:szCs w:val="20"/>
                <w:lang w:eastAsia="it-IT"/>
              </w:rPr>
              <w:t>SLOVENIA</w:t>
            </w:r>
          </w:p>
          <w:p w14:paraId="79161C5E" w14:textId="77777777" w:rsidR="0057704A" w:rsidRDefault="004A66A7">
            <w:pPr>
              <w:pStyle w:val="Standard"/>
              <w:spacing w:after="0" w:line="240" w:lineRule="auto"/>
              <w:jc w:val="center"/>
            </w:pPr>
            <w:r>
              <w:rPr>
                <w:rFonts w:cs="Calibri"/>
                <w:b/>
                <w:bCs/>
                <w:color w:val="000000"/>
                <w:sz w:val="20"/>
                <w:szCs w:val="20"/>
                <w:lang w:eastAsia="it-IT"/>
              </w:rPr>
              <w:t>Imprenditorialmente, nel mondo degli affari HRT - Sostegno ai giovani imprenditori</w:t>
            </w:r>
          </w:p>
        </w:tc>
      </w:tr>
      <w:tr w:rsidR="0057704A" w14:paraId="79161C65"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79161C60" w14:textId="77777777" w:rsidR="0057704A" w:rsidRPr="00883920" w:rsidRDefault="004A66A7">
            <w:pPr>
              <w:pStyle w:val="Standard"/>
              <w:spacing w:after="0" w:line="240" w:lineRule="auto"/>
              <w:jc w:val="both"/>
              <w:rPr>
                <w:rFonts w:cs="Calibri"/>
              </w:rPr>
            </w:pPr>
            <w:bookmarkStart w:id="19" w:name="_Hlk125389755"/>
            <w:bookmarkEnd w:id="18"/>
            <w:r w:rsidRPr="00883920">
              <w:rPr>
                <w:rFonts w:cs="Calibri"/>
                <w:color w:val="5B9BD5"/>
                <w:sz w:val="20"/>
                <w:szCs w:val="20"/>
                <w:lang w:eastAsia="it-IT"/>
              </w:rPr>
              <w:t xml:space="preserve">Problemi affrontati. </w:t>
            </w:r>
            <w:r w:rsidRPr="005148A0">
              <w:rPr>
                <w:rFonts w:cs="Calibri"/>
                <w:sz w:val="20"/>
                <w:szCs w:val="20"/>
                <w:lang w:eastAsia="it-IT"/>
              </w:rPr>
              <w:t>C</w:t>
            </w:r>
            <w:r w:rsidRPr="00883920">
              <w:rPr>
                <w:rFonts w:cs="Calibri"/>
                <w:sz w:val="20"/>
                <w:szCs w:val="20"/>
                <w:lang w:eastAsia="it-IT"/>
              </w:rPr>
              <w:t>irca il 10% dei giovani con istruzione secondaria superiore e post-secondaria è disoccupato. Allo stesso tempo, il tasso di lavoro autonomo in Slovenia (13%) rimane al di sotto della media UE (14%). L'area, un tempo regione industriale e mineraria altamente sviluppata, sta affrontando una rapida perdita di posti di lavoro e investimenti limitati in nuove iniziative imprenditoriali, lasciando ai giovani opportunità limitate.</w:t>
            </w:r>
          </w:p>
          <w:p w14:paraId="79161C61" w14:textId="430385E5" w:rsidR="0057704A" w:rsidRPr="005148A0" w:rsidRDefault="004A66A7">
            <w:pPr>
              <w:pStyle w:val="Standard"/>
              <w:spacing w:after="0" w:line="240" w:lineRule="auto"/>
              <w:jc w:val="both"/>
              <w:rPr>
                <w:rFonts w:asciiTheme="minorHAnsi" w:hAnsiTheme="minorHAnsi" w:cstheme="minorHAnsi"/>
              </w:rPr>
            </w:pPr>
            <w:r w:rsidRPr="00883920">
              <w:rPr>
                <w:rFonts w:cs="Calibri"/>
                <w:color w:val="5B9BD5"/>
                <w:sz w:val="20"/>
                <w:szCs w:val="20"/>
                <w:lang w:eastAsia="it-IT"/>
              </w:rPr>
              <w:t xml:space="preserve">Soluzioni </w:t>
            </w:r>
            <w:r w:rsidR="00883920" w:rsidRPr="00883920">
              <w:rPr>
                <w:rFonts w:cs="Calibri"/>
                <w:color w:val="5B9BD5"/>
                <w:sz w:val="20"/>
                <w:szCs w:val="20"/>
                <w:lang w:eastAsia="it-IT"/>
              </w:rPr>
              <w:t xml:space="preserve">Innovative </w:t>
            </w:r>
            <w:r w:rsidR="00883920" w:rsidRPr="005148A0">
              <w:rPr>
                <w:rFonts w:cs="Calibri"/>
                <w:sz w:val="20"/>
                <w:szCs w:val="20"/>
                <w:lang w:eastAsia="it-IT"/>
              </w:rPr>
              <w:t>Il</w:t>
            </w:r>
            <w:r w:rsidRPr="00883920">
              <w:rPr>
                <w:rFonts w:cs="Calibri"/>
                <w:sz w:val="20"/>
                <w:szCs w:val="20"/>
                <w:lang w:eastAsia="it-IT"/>
              </w:rPr>
              <w:t xml:space="preserve"> programma offre ai partecipanti disoccupati, indipendentemente dal sesso, dall'età o dall'istruzione e con residenza permanente nella regione di riferimento: sostegno finanziario, opportunità di formazione a tempo pieno e orientamento da parte di mentori, coach e imprenditori per sviluppare le proprie idee imprenditoriali. I giovani rispondono a un bando pubblico per presentare un'idea volta a promuovere l'innovazione sociale in settori quali l'occupazione, la digitalizzazione o la mobilità per esplorare nuove soluzioni sociali rivolte sia al settore privato che a quello pubblico. Una commissione di esperti esamina e valuta ogni idea imprenditoriale in termini di innovazione, potenzialità imprenditoriale e fattibilità. I beneficiari selezionati vengono poi assunti come dipendenti dalle agenzie di sviluppo regionale (RDA)competenti con uno stipendio mensile di circa 800 euro e una </w:t>
            </w:r>
            <w:r w:rsidRPr="005148A0">
              <w:rPr>
                <w:rFonts w:asciiTheme="minorHAnsi" w:hAnsiTheme="minorHAnsi" w:cstheme="minorHAnsi"/>
                <w:sz w:val="20"/>
                <w:szCs w:val="20"/>
                <w:lang w:eastAsia="it-IT"/>
              </w:rPr>
              <w:t xml:space="preserve">formazione approfondita durante tutto il tirocinio (4–6 mesi). Man mano che i partecipanti progrediscono, la </w:t>
            </w:r>
            <w:r w:rsidRPr="005148A0">
              <w:rPr>
                <w:rFonts w:asciiTheme="minorHAnsi" w:hAnsiTheme="minorHAnsi" w:cstheme="minorHAnsi"/>
                <w:sz w:val="20"/>
                <w:szCs w:val="20"/>
                <w:lang w:eastAsia="it-IT"/>
              </w:rPr>
              <w:lastRenderedPageBreak/>
              <w:t>formazione diventa più personalizzata, con coaching individuale e guida per ogni partecipante per sviluppare la propria idea imprenditoriale. I partecipanti hanno possibilità di restare in contatto e avere il supporto dei loro tutor per un anno dopo aver completato il loro programma di tirocinio e formazione, a seconda delle loro esigenze. Lo schema prevede anche una fase di monitoraggio e valutazione condotta dalla RDA al fine di valutare i benefici dello sviluppo di carriera dei beneficiari.</w:t>
            </w:r>
          </w:p>
          <w:p w14:paraId="79161C62" w14:textId="24F0D6FC" w:rsidR="0057704A" w:rsidRPr="005148A0" w:rsidRDefault="004A66A7">
            <w:pPr>
              <w:pStyle w:val="Standard"/>
              <w:spacing w:after="0" w:line="240" w:lineRule="auto"/>
              <w:jc w:val="both"/>
              <w:rPr>
                <w:rFonts w:asciiTheme="minorHAnsi" w:hAnsiTheme="minorHAnsi" w:cstheme="minorHAnsi"/>
              </w:rPr>
            </w:pPr>
            <w:r w:rsidRPr="005148A0">
              <w:rPr>
                <w:rFonts w:asciiTheme="minorHAnsi" w:hAnsiTheme="minorHAnsi" w:cstheme="minorHAnsi"/>
                <w:color w:val="5B9BD5"/>
                <w:sz w:val="20"/>
                <w:szCs w:val="20"/>
                <w:lang w:eastAsia="it-IT"/>
              </w:rPr>
              <w:t xml:space="preserve">Principali risultati e benefici. </w:t>
            </w:r>
            <w:r w:rsidRPr="005148A0">
              <w:rPr>
                <w:rFonts w:asciiTheme="minorHAnsi" w:hAnsiTheme="minorHAnsi" w:cstheme="minorHAnsi"/>
                <w:sz w:val="20"/>
                <w:szCs w:val="20"/>
                <w:lang w:eastAsia="it-IT"/>
              </w:rPr>
              <w:t xml:space="preserve">Il progetto si è rivelato un grande successo nella sua fase pilota all'interno della regione di </w:t>
            </w:r>
            <w:proofErr w:type="spellStart"/>
            <w:r w:rsidRPr="005148A0">
              <w:rPr>
                <w:rFonts w:asciiTheme="minorHAnsi" w:hAnsiTheme="minorHAnsi" w:cstheme="minorHAnsi"/>
                <w:sz w:val="20"/>
                <w:szCs w:val="20"/>
                <w:lang w:eastAsia="it-IT"/>
              </w:rPr>
              <w:t>Zasavje</w:t>
            </w:r>
            <w:proofErr w:type="spellEnd"/>
            <w:r w:rsidRPr="005148A0">
              <w:rPr>
                <w:rFonts w:asciiTheme="minorHAnsi" w:hAnsiTheme="minorHAnsi" w:cstheme="minorHAnsi"/>
                <w:sz w:val="20"/>
                <w:szCs w:val="20"/>
                <w:lang w:eastAsia="it-IT"/>
              </w:rPr>
              <w:t xml:space="preserve">. Successivamente è stato implementato a livello nazionale passando così da 40 partecipanti a 360 e un tasso di successo del 60% </w:t>
            </w:r>
            <w:r w:rsidR="005148A0" w:rsidRPr="005148A0">
              <w:rPr>
                <w:rFonts w:asciiTheme="minorHAnsi" w:hAnsiTheme="minorHAnsi" w:cstheme="minorHAnsi"/>
                <w:sz w:val="20"/>
                <w:szCs w:val="20"/>
                <w:lang w:eastAsia="it-IT"/>
              </w:rPr>
              <w:t>(progetto</w:t>
            </w:r>
            <w:r w:rsidRPr="005148A0">
              <w:rPr>
                <w:rFonts w:asciiTheme="minorHAnsi" w:hAnsiTheme="minorHAnsi" w:cstheme="minorHAnsi"/>
                <w:sz w:val="20"/>
                <w:szCs w:val="20"/>
                <w:lang w:eastAsia="it-IT"/>
              </w:rPr>
              <w:t xml:space="preserve"> nazionale 2014). I dati di monitoraggio raccolti dai rappresentanti del progetto mostrano che, nel 2017-2018, grazie al progetto sono state costituite 16 nuove imprese o start-up. Entro il 2019, circa il 75% dei beneficiari aveva avviato un'attività in proprio o aveva trovato un impiego. Nella regione di </w:t>
            </w:r>
            <w:proofErr w:type="spellStart"/>
            <w:r w:rsidRPr="005148A0">
              <w:rPr>
                <w:rFonts w:asciiTheme="minorHAnsi" w:hAnsiTheme="minorHAnsi" w:cstheme="minorHAnsi"/>
                <w:sz w:val="20"/>
                <w:szCs w:val="20"/>
                <w:lang w:eastAsia="it-IT"/>
              </w:rPr>
              <w:t>Zasavje</w:t>
            </w:r>
            <w:proofErr w:type="spellEnd"/>
            <w:r w:rsidRPr="005148A0">
              <w:rPr>
                <w:rFonts w:asciiTheme="minorHAnsi" w:hAnsiTheme="minorHAnsi" w:cstheme="minorHAnsi"/>
                <w:sz w:val="20"/>
                <w:szCs w:val="20"/>
                <w:lang w:eastAsia="it-IT"/>
              </w:rPr>
              <w:t xml:space="preserve"> sono state costituite diverse aziende come risultato di questo programma. Il progetto sta contribuendo allo sviluppo di nuovi settori in Slovenia, nonché a favorire lo sviluppo di nuove competenze tra i giovani (come il design grafico, l'artigianato, ecc.)</w:t>
            </w:r>
          </w:p>
          <w:p w14:paraId="79161C63" w14:textId="77777777" w:rsidR="0057704A" w:rsidRPr="005148A0" w:rsidRDefault="004A66A7">
            <w:pPr>
              <w:pStyle w:val="Standard"/>
              <w:spacing w:after="0" w:line="240" w:lineRule="auto"/>
              <w:jc w:val="both"/>
              <w:rPr>
                <w:rFonts w:asciiTheme="minorHAnsi" w:hAnsiTheme="minorHAnsi" w:cstheme="minorHAnsi"/>
              </w:rPr>
            </w:pPr>
            <w:r w:rsidRPr="005148A0">
              <w:rPr>
                <w:rFonts w:asciiTheme="minorHAnsi" w:hAnsiTheme="minorHAnsi" w:cstheme="minorHAnsi"/>
                <w:sz w:val="20"/>
                <w:szCs w:val="20"/>
                <w:lang w:eastAsia="it-IT"/>
              </w:rPr>
              <w:t>Un altro vantaggio chiave del programma è che, partecipando direttamente, un gran numero di parti interessate, come associazioni, aziende e camere di commercio, ha stabilito una partnership con la RDA, determinando dunque un'opportunità di apprendimento per le parti interessate coinvolte e promuovendo l'innovazione sociale attraverso un più ampio spettro di attori sociali.</w:t>
            </w:r>
          </w:p>
          <w:p w14:paraId="79161C64" w14:textId="77777777" w:rsidR="0057704A" w:rsidRDefault="004A66A7">
            <w:pPr>
              <w:pStyle w:val="Standard"/>
              <w:spacing w:after="0" w:line="240" w:lineRule="auto"/>
              <w:jc w:val="both"/>
            </w:pPr>
            <w:r w:rsidRPr="005148A0">
              <w:rPr>
                <w:rFonts w:asciiTheme="minorHAnsi" w:hAnsiTheme="minorHAnsi" w:cstheme="minorHAnsi"/>
                <w:color w:val="5B9BD5"/>
                <w:sz w:val="20"/>
                <w:szCs w:val="20"/>
                <w:lang w:eastAsia="it-IT"/>
              </w:rPr>
              <w:t xml:space="preserve">Potenziale di mainstreaming/scaling up. </w:t>
            </w:r>
            <w:r w:rsidRPr="005148A0">
              <w:rPr>
                <w:rFonts w:asciiTheme="minorHAnsi" w:hAnsiTheme="minorHAnsi" w:cstheme="minorHAnsi"/>
                <w:sz w:val="20"/>
                <w:szCs w:val="20"/>
                <w:lang w:eastAsia="it-IT"/>
              </w:rPr>
              <w:t xml:space="preserve">Il progetto è stato sperimentato nella regione di </w:t>
            </w:r>
            <w:proofErr w:type="spellStart"/>
            <w:r w:rsidRPr="005148A0">
              <w:rPr>
                <w:rFonts w:asciiTheme="minorHAnsi" w:hAnsiTheme="minorHAnsi" w:cstheme="minorHAnsi"/>
                <w:sz w:val="20"/>
                <w:szCs w:val="20"/>
                <w:lang w:eastAsia="it-IT"/>
              </w:rPr>
              <w:t>Zasavje</w:t>
            </w:r>
            <w:proofErr w:type="spellEnd"/>
            <w:r w:rsidRPr="005148A0">
              <w:rPr>
                <w:rFonts w:asciiTheme="minorHAnsi" w:hAnsiTheme="minorHAnsi" w:cstheme="minorHAnsi"/>
                <w:sz w:val="20"/>
                <w:szCs w:val="20"/>
                <w:lang w:eastAsia="it-IT"/>
              </w:rPr>
              <w:t xml:space="preserve"> nel 2010-2011 e poi implementato a livello nazionale dalla fine del 2012, il che indica il suo forte potenziale per essere trasferito in altri contesti. Un fattore chiave per il successo del suo trasferimento è la capacità di garantire il finanziamento per pagare i partecipanti durante il loro tirocinio/formazione. Ciò consente ai partecipanti di sviluppare solide abitudini lavorative e di metterli in contatto con un'ampia gamma di professionisti e imprenditori. Un altro fattore per il suo trasferimento è consentire flessibilità nell'attuazione, in modo che le agenzie locali possano adattare i programmi di formazione alle esigenze specifiche dei partecipanti.</w:t>
            </w:r>
          </w:p>
        </w:tc>
      </w:tr>
      <w:bookmarkEnd w:id="19"/>
      <w:tr w:rsidR="0057704A" w14:paraId="79161C68"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2B2B0"/>
            <w:tcMar>
              <w:top w:w="0" w:type="dxa"/>
              <w:left w:w="108" w:type="dxa"/>
              <w:bottom w:w="0" w:type="dxa"/>
              <w:right w:w="108" w:type="dxa"/>
            </w:tcMar>
          </w:tcPr>
          <w:p w14:paraId="79161C66" w14:textId="77777777" w:rsidR="0057704A" w:rsidRDefault="004A66A7">
            <w:pPr>
              <w:pStyle w:val="Standard"/>
              <w:spacing w:after="0" w:line="240" w:lineRule="auto"/>
              <w:jc w:val="center"/>
            </w:pPr>
            <w:r>
              <w:rPr>
                <w:rFonts w:cs="Calibri"/>
                <w:b/>
                <w:bCs/>
                <w:color w:val="000000"/>
                <w:sz w:val="20"/>
                <w:szCs w:val="20"/>
                <w:lang w:eastAsia="it-IT"/>
              </w:rPr>
              <w:lastRenderedPageBreak/>
              <w:t>FRANCIA</w:t>
            </w:r>
          </w:p>
          <w:p w14:paraId="79161C67" w14:textId="77777777" w:rsidR="0057704A" w:rsidRDefault="004A66A7">
            <w:pPr>
              <w:pStyle w:val="Standard"/>
              <w:spacing w:after="0" w:line="240" w:lineRule="auto"/>
              <w:jc w:val="center"/>
            </w:pPr>
            <w:r>
              <w:rPr>
                <w:rFonts w:cs="Calibri"/>
                <w:b/>
                <w:bCs/>
                <w:color w:val="000000"/>
                <w:sz w:val="20"/>
                <w:szCs w:val="20"/>
                <w:lang w:eastAsia="it-IT"/>
              </w:rPr>
              <w:t xml:space="preserve">PARI </w:t>
            </w:r>
            <w:proofErr w:type="spellStart"/>
            <w:r>
              <w:rPr>
                <w:rFonts w:cs="Calibri"/>
                <w:b/>
                <w:bCs/>
                <w:color w:val="000000"/>
                <w:sz w:val="20"/>
                <w:szCs w:val="20"/>
                <w:lang w:eastAsia="it-IT"/>
              </w:rPr>
              <w:t>Jeunes</w:t>
            </w:r>
            <w:proofErr w:type="spellEnd"/>
            <w:r>
              <w:rPr>
                <w:rFonts w:cs="Calibri"/>
                <w:b/>
                <w:bCs/>
                <w:color w:val="000000"/>
                <w:sz w:val="20"/>
                <w:szCs w:val="20"/>
                <w:lang w:eastAsia="it-IT"/>
              </w:rPr>
              <w:t xml:space="preserve"> - un programma di formazione professionale e di competenze occupazionali per i giovani</w:t>
            </w:r>
          </w:p>
        </w:tc>
      </w:tr>
      <w:tr w:rsidR="0057704A" w14:paraId="79161C6E"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242AFB33" w14:textId="57A56772" w:rsidR="001B49BD" w:rsidRDefault="004A66A7" w:rsidP="001B49BD">
            <w:pPr>
              <w:pStyle w:val="Standard"/>
              <w:spacing w:after="0" w:line="257" w:lineRule="auto"/>
              <w:jc w:val="both"/>
              <w:rPr>
                <w:rFonts w:cs="Calibri"/>
                <w:color w:val="00000A"/>
                <w:sz w:val="20"/>
                <w:szCs w:val="20"/>
              </w:rPr>
            </w:pPr>
            <w:r w:rsidRPr="001B49BD">
              <w:rPr>
                <w:rFonts w:cs="Calibri"/>
                <w:color w:val="5B9BD5"/>
                <w:sz w:val="20"/>
                <w:szCs w:val="20"/>
              </w:rPr>
              <w:t xml:space="preserve">Problemi affrontati. Il </w:t>
            </w:r>
            <w:r w:rsidRPr="001B49BD">
              <w:rPr>
                <w:rFonts w:cs="Calibri"/>
                <w:color w:val="00000A"/>
                <w:sz w:val="20"/>
                <w:szCs w:val="20"/>
              </w:rPr>
              <w:t xml:space="preserve">14,4% dei giovani in Francia di età compresa tra i 18 e i 29 è NEET. I servizi pubblici per l'impiego offrono spesso un sostegno di breve durata e non adattato al giovane, il che rende il </w:t>
            </w:r>
            <w:r w:rsidR="001B49BD" w:rsidRPr="001B49BD">
              <w:rPr>
                <w:rFonts w:cs="Calibri"/>
                <w:color w:val="00000A"/>
                <w:sz w:val="20"/>
                <w:szCs w:val="20"/>
              </w:rPr>
              <w:t>servizio inefficace</w:t>
            </w:r>
            <w:r w:rsidRPr="001B49BD">
              <w:rPr>
                <w:rFonts w:cs="Calibri"/>
                <w:color w:val="00000A"/>
                <w:sz w:val="20"/>
                <w:szCs w:val="20"/>
              </w:rPr>
              <w:t xml:space="preserve">, in particolare quando si ha a che fare con i giovani più vulnerabili, ad esempio i disoccupati di lunga durata o quelli con un basso livello di competenze, in quanto potrebbero aver bisogno di più esperienza </w:t>
            </w:r>
            <w:r w:rsidR="001B49BD" w:rsidRPr="001B49BD">
              <w:rPr>
                <w:rFonts w:cs="Calibri"/>
                <w:color w:val="00000A"/>
                <w:sz w:val="20"/>
                <w:szCs w:val="20"/>
              </w:rPr>
              <w:t>pratica,</w:t>
            </w:r>
            <w:r w:rsidRPr="001B49BD">
              <w:rPr>
                <w:rFonts w:cs="Calibri"/>
                <w:color w:val="00000A"/>
                <w:sz w:val="20"/>
                <w:szCs w:val="20"/>
              </w:rPr>
              <w:t xml:space="preserve"> supporto continuo e integrato per entrare e rimanere nel mondo del lavoro.</w:t>
            </w:r>
          </w:p>
          <w:p w14:paraId="79161C6A" w14:textId="20DEF35D" w:rsidR="0057704A" w:rsidRPr="001B49BD" w:rsidRDefault="004A66A7" w:rsidP="001B49BD">
            <w:pPr>
              <w:pStyle w:val="Standard"/>
              <w:spacing w:after="0" w:line="257" w:lineRule="auto"/>
              <w:jc w:val="both"/>
              <w:rPr>
                <w:rFonts w:cs="Calibri"/>
              </w:rPr>
            </w:pPr>
            <w:r w:rsidRPr="001B49BD">
              <w:rPr>
                <w:rFonts w:cs="Calibri"/>
                <w:color w:val="5B9BD5"/>
                <w:sz w:val="20"/>
                <w:szCs w:val="20"/>
              </w:rPr>
              <w:t xml:space="preserve">Soluzioni Innovative </w:t>
            </w:r>
            <w:r w:rsidRPr="001B49BD">
              <w:rPr>
                <w:rFonts w:cs="Calibri"/>
                <w:sz w:val="20"/>
                <w:szCs w:val="20"/>
              </w:rPr>
              <w:t xml:space="preserve">Il programma, implementato a Lille, dal 2015 al 2017 ha fornito ai beneficiari finanziamenti per corsi di formazione o attrezzature di lavoro insieme ad un orientamento pratico per un periodo di due anni. L'elemento innovativo del programma è stata la natura intensiva dell'orientamento personalizzato. Il programma ha fornito ai partecipanti quattro coach dedicati al lavoro e all'occupazione, nonché l'uso di una sala computer, per aiutarli ad accedere alle competenze e alla tecnologia necessarie durante la ricerca di un lavoro. I coach per l'impiego sono stati selezionati per la loro conoscenza delle aziende private e la loro esperienza di lavoro con i giovani NEET. L'obiettivo generale del programma era che ogni giovane trovasse uno stage, un percorso che portasse ad una qualifica, un'opportunità di lavoro, sia part-time che full-time, o che sviluppasse un progetto per il proprio percorso di inserimento professionale. Il programma è durato 18 mesi ed è stato coordinato dall'Istituto di formazione di Vitamine T Group (VT), un'organizzazione che fornisce consulenza e servizi per l'impiego a coloro che lottano per assicurarsi un lavoro, tra cui </w:t>
            </w:r>
            <w:r w:rsidR="001B49BD" w:rsidRPr="001B49BD">
              <w:rPr>
                <w:rFonts w:cs="Calibri"/>
                <w:sz w:val="20"/>
                <w:szCs w:val="20"/>
              </w:rPr>
              <w:t>i disoccupati</w:t>
            </w:r>
            <w:r w:rsidRPr="001B49BD">
              <w:rPr>
                <w:rFonts w:cs="Calibri"/>
                <w:sz w:val="20"/>
                <w:szCs w:val="20"/>
              </w:rPr>
              <w:t xml:space="preserve"> di lunga durata, inesperti e disabili.</w:t>
            </w:r>
          </w:p>
          <w:p w14:paraId="79161C6B" w14:textId="77777777" w:rsidR="0057704A" w:rsidRPr="001B49BD" w:rsidRDefault="004A66A7" w:rsidP="001B49BD">
            <w:pPr>
              <w:pStyle w:val="Standard"/>
              <w:spacing w:after="0" w:line="257" w:lineRule="auto"/>
              <w:jc w:val="both"/>
              <w:rPr>
                <w:rFonts w:cs="Calibri"/>
              </w:rPr>
            </w:pPr>
            <w:r w:rsidRPr="001B49BD">
              <w:rPr>
                <w:rFonts w:cs="Calibri"/>
                <w:color w:val="5B9BD5"/>
                <w:sz w:val="20"/>
                <w:szCs w:val="20"/>
              </w:rPr>
              <w:t xml:space="preserve">Principali risultati e benefici. </w:t>
            </w:r>
            <w:r w:rsidRPr="001B49BD">
              <w:rPr>
                <w:rFonts w:cs="Calibri"/>
                <w:sz w:val="20"/>
                <w:szCs w:val="20"/>
              </w:rPr>
              <w:t>Dei 601 giovani iscritti al programma, 403 (67%) hanno trovato un lavoro, uno stage, un corso immersivo sul lavoro o un collocamento volontario.</w:t>
            </w:r>
          </w:p>
          <w:p w14:paraId="79161C6C" w14:textId="77777777" w:rsidR="0057704A" w:rsidRPr="001B49BD" w:rsidRDefault="004A66A7" w:rsidP="001B49BD">
            <w:pPr>
              <w:pStyle w:val="Standard"/>
              <w:spacing w:after="0" w:line="257" w:lineRule="auto"/>
              <w:jc w:val="both"/>
              <w:rPr>
                <w:rFonts w:cs="Calibri"/>
              </w:rPr>
            </w:pPr>
            <w:r w:rsidRPr="001B49BD">
              <w:rPr>
                <w:rFonts w:cs="Calibri"/>
                <w:color w:val="5B9BD5"/>
                <w:sz w:val="20"/>
                <w:szCs w:val="20"/>
              </w:rPr>
              <w:t xml:space="preserve">Potenziale di mainstreaming/scaling up. </w:t>
            </w:r>
            <w:r w:rsidRPr="001B49BD">
              <w:rPr>
                <w:rFonts w:cs="Calibri"/>
                <w:sz w:val="20"/>
                <w:szCs w:val="20"/>
              </w:rPr>
              <w:t>Il FSE ha fornito 932 085 EUR, pari al 92% del bilancio totale del progetto. Utilizzando questo finanziamento, il VT è stato in grado di ottenere un maggiore sostegno e un rapporto favorevole tra formatori e partecipanti al programma. Garantire questo rapporto tra formatori e partecipanti è una condizione chiave per il suo trasferimento di successo in un altro contesto poiché è stata proprio la natura intensa e personalizzata della consulenza che ha permesso al programma di raggiungere i giovani NEET che erano più lontani dal mercato del lavoro.</w:t>
            </w:r>
          </w:p>
          <w:p w14:paraId="79161C6D" w14:textId="77777777" w:rsidR="0057704A" w:rsidRDefault="004A66A7">
            <w:pPr>
              <w:pStyle w:val="Standard"/>
              <w:jc w:val="both"/>
            </w:pPr>
            <w:r w:rsidRPr="001B49BD">
              <w:rPr>
                <w:rFonts w:cs="Calibri"/>
                <w:sz w:val="20"/>
                <w:szCs w:val="20"/>
              </w:rPr>
              <w:t>Dopo aver riconosciuto una più ampia necessità di questo tipo di supporto individualizzato, l'istituto di formazione professionale ha ampliato il gruppo target del programma per includere gli anziani, pur continuando a concentrarsi sui giovani NEET.</w:t>
            </w:r>
          </w:p>
        </w:tc>
      </w:tr>
      <w:tr w:rsidR="0057704A" w14:paraId="79161C71" w14:textId="77777777">
        <w:tc>
          <w:tcPr>
            <w:tcW w:w="9615" w:type="dxa"/>
            <w:tcBorders>
              <w:top w:val="single" w:sz="18" w:space="0" w:color="5B9BD5"/>
              <w:left w:val="single" w:sz="18" w:space="0" w:color="5B9BD5"/>
              <w:bottom w:val="single" w:sz="18" w:space="0" w:color="5B9BD5"/>
              <w:right w:val="single" w:sz="18" w:space="0" w:color="5B9BD5"/>
            </w:tcBorders>
            <w:shd w:val="clear" w:color="auto" w:fill="FF7C80"/>
            <w:tcMar>
              <w:top w:w="0" w:type="dxa"/>
              <w:left w:w="108" w:type="dxa"/>
              <w:bottom w:w="0" w:type="dxa"/>
              <w:right w:w="108" w:type="dxa"/>
            </w:tcMar>
          </w:tcPr>
          <w:p w14:paraId="79161C6F" w14:textId="77777777" w:rsidR="0057704A" w:rsidRDefault="004A66A7">
            <w:pPr>
              <w:pStyle w:val="Standard"/>
              <w:spacing w:after="0" w:line="240" w:lineRule="auto"/>
              <w:jc w:val="center"/>
            </w:pPr>
            <w:r>
              <w:rPr>
                <w:rFonts w:cs="Calibri"/>
                <w:b/>
                <w:bCs/>
                <w:color w:val="000000"/>
                <w:sz w:val="20"/>
                <w:szCs w:val="20"/>
                <w:lang w:eastAsia="it-IT"/>
              </w:rPr>
              <w:t>FRANCIA</w:t>
            </w:r>
          </w:p>
          <w:p w14:paraId="79161C70" w14:textId="77777777" w:rsidR="0057704A" w:rsidRDefault="004A66A7">
            <w:pPr>
              <w:pStyle w:val="Standard"/>
              <w:spacing w:after="0" w:line="240" w:lineRule="auto"/>
              <w:jc w:val="center"/>
            </w:pPr>
            <w:r>
              <w:rPr>
                <w:rFonts w:cs="Calibri"/>
                <w:b/>
                <w:bCs/>
                <w:color w:val="000000"/>
                <w:sz w:val="20"/>
                <w:szCs w:val="20"/>
                <w:lang w:eastAsia="it-IT"/>
              </w:rPr>
              <w:t>Mobilità SAS - Acquisizione di esperienze lavorative attraverso la mobilità internazionale/giovani</w:t>
            </w:r>
          </w:p>
        </w:tc>
      </w:tr>
      <w:tr w:rsidR="0057704A" w14:paraId="79161C76" w14:textId="77777777" w:rsidTr="005622D2">
        <w:tc>
          <w:tcPr>
            <w:tcW w:w="9615" w:type="dxa"/>
            <w:tcBorders>
              <w:top w:val="single" w:sz="18" w:space="0" w:color="5B9BD5"/>
              <w:left w:val="single" w:sz="18" w:space="0" w:color="5B9BD5"/>
              <w:bottom w:val="single" w:sz="18" w:space="0" w:color="0070C0"/>
              <w:right w:val="single" w:sz="18" w:space="0" w:color="5B9BD5"/>
            </w:tcBorders>
            <w:shd w:val="clear" w:color="auto" w:fill="FFFFFF"/>
            <w:tcMar>
              <w:top w:w="0" w:type="dxa"/>
              <w:left w:w="108" w:type="dxa"/>
              <w:bottom w:w="0" w:type="dxa"/>
              <w:right w:w="108" w:type="dxa"/>
            </w:tcMar>
          </w:tcPr>
          <w:p w14:paraId="79161C72" w14:textId="77777777" w:rsidR="0057704A" w:rsidRPr="005622D2" w:rsidRDefault="004A66A7" w:rsidP="005622D2">
            <w:pPr>
              <w:pStyle w:val="Standard"/>
              <w:spacing w:after="0"/>
              <w:jc w:val="both"/>
              <w:rPr>
                <w:rFonts w:cs="Calibri"/>
              </w:rPr>
            </w:pPr>
            <w:r w:rsidRPr="005622D2">
              <w:rPr>
                <w:rFonts w:cs="Calibri"/>
                <w:color w:val="5B9BD5"/>
                <w:sz w:val="20"/>
                <w:szCs w:val="20"/>
              </w:rPr>
              <w:lastRenderedPageBreak/>
              <w:t xml:space="preserve">Problemi affrontati. </w:t>
            </w:r>
            <w:r w:rsidRPr="005622D2">
              <w:rPr>
                <w:rFonts w:cs="Calibri"/>
                <w:color w:val="404040"/>
                <w:sz w:val="20"/>
                <w:szCs w:val="20"/>
              </w:rPr>
              <w:t> </w:t>
            </w:r>
            <w:r w:rsidRPr="005622D2">
              <w:rPr>
                <w:rFonts w:cs="Calibri"/>
                <w:sz w:val="20"/>
                <w:szCs w:val="20"/>
              </w:rPr>
              <w:t>Più di due terzi degli studenti e dei tirocinanti Erasmus+ hanno riferito che la loro esperienza all'estero li ha aiutati a definire le loro scelte professionali e ad ottenere il loro primo lavoro. Tuttavia, i giovani provenienti da contesti svantaggiati hanno generalmente minori opportunità di viaggiare all'estero o di acquisire esperienza lavorativa al di fuori dei loro paesi d'origine. Questo può metterli in una posizione di svantaggio rispetto ad altri giovani candidati al lavoro, aggiungendo un altro ostacolo alla loro riuscita integrazione nel mercato del lavoro.</w:t>
            </w:r>
          </w:p>
          <w:p w14:paraId="79161C73" w14:textId="77777777" w:rsidR="0057704A" w:rsidRPr="005622D2" w:rsidRDefault="004A66A7" w:rsidP="005622D2">
            <w:pPr>
              <w:pStyle w:val="NormaleWeb"/>
              <w:spacing w:before="0" w:after="0"/>
              <w:jc w:val="both"/>
              <w:rPr>
                <w:rFonts w:ascii="Calibri" w:hAnsi="Calibri" w:cs="Calibri"/>
              </w:rPr>
            </w:pPr>
            <w:r w:rsidRPr="005622D2">
              <w:rPr>
                <w:rFonts w:ascii="Calibri" w:hAnsi="Calibri" w:cs="Calibri"/>
                <w:color w:val="5B9BD5"/>
                <w:sz w:val="20"/>
                <w:szCs w:val="20"/>
              </w:rPr>
              <w:t xml:space="preserve">Soluzioni Innovative </w:t>
            </w:r>
            <w:r w:rsidRPr="005622D2">
              <w:rPr>
                <w:rFonts w:ascii="Calibri" w:hAnsi="Calibri" w:cs="Calibri"/>
                <w:sz w:val="20"/>
                <w:szCs w:val="20"/>
              </w:rPr>
              <w:t>SAS Mobility mira a livellare le opportunità offrendo ai giovani provenienti da contesti svantaggiati la possibilità di acquisire esperienza lavorativa all'estero. SAS Mobility va oltre i tipici programmi di mobilità in quanto offre un supporto intensivo ai partecipanti durante l'intera esperienza di mobilità: supporto amministrativo e corso preparatorio di otto settimane sulla cultura e del paese ospitante, un'assistenza individuale prima, durante e dopo l'esperienza di mobilità, comprese 60 ore di lezioni di lingua individualizzate. Lo staff di SAS Mobility guida i candidati su come scegliere tra le diverse opportunità disponibili e cosa possono imparare da ognuna e per garantire che ognuno si senta parte interessata nella progettazione della propria esperienza di mobilità vengono utilizzate metodologie innovative di educazione non formale.</w:t>
            </w:r>
          </w:p>
          <w:p w14:paraId="79161C74" w14:textId="77777777" w:rsidR="0057704A" w:rsidRPr="005622D2" w:rsidRDefault="004A66A7" w:rsidP="005622D2">
            <w:pPr>
              <w:pStyle w:val="Standard"/>
              <w:spacing w:after="0"/>
              <w:jc w:val="both"/>
              <w:rPr>
                <w:rFonts w:cs="Calibri"/>
              </w:rPr>
            </w:pPr>
            <w:r w:rsidRPr="005622D2">
              <w:rPr>
                <w:rFonts w:cs="Calibri"/>
                <w:color w:val="5B9BD5"/>
                <w:sz w:val="20"/>
                <w:szCs w:val="20"/>
              </w:rPr>
              <w:t>Principali risultati e benefici. D</w:t>
            </w:r>
            <w:r w:rsidRPr="005622D2">
              <w:rPr>
                <w:rFonts w:cs="Calibri"/>
                <w:sz w:val="20"/>
                <w:szCs w:val="20"/>
              </w:rPr>
              <w:t xml:space="preserve">all'inizio del progetto, 46 ​​giovani hanno partecipato ad attività di mobilità, </w:t>
            </w:r>
            <w:proofErr w:type="gramStart"/>
            <w:r w:rsidRPr="005622D2">
              <w:rPr>
                <w:rFonts w:cs="Calibri"/>
                <w:sz w:val="20"/>
                <w:szCs w:val="20"/>
              </w:rPr>
              <w:t>( 3</w:t>
            </w:r>
            <w:proofErr w:type="gramEnd"/>
            <w:r w:rsidRPr="005622D2">
              <w:rPr>
                <w:rFonts w:cs="Calibri"/>
                <w:sz w:val="20"/>
                <w:szCs w:val="20"/>
              </w:rPr>
              <w:t xml:space="preserve"> hanno lasciato il progetto). Il loro </w:t>
            </w:r>
            <w:proofErr w:type="gramStart"/>
            <w:r w:rsidRPr="005622D2">
              <w:rPr>
                <w:rFonts w:cs="Calibri"/>
                <w:sz w:val="20"/>
                <w:szCs w:val="20"/>
              </w:rPr>
              <w:t>feedback</w:t>
            </w:r>
            <w:proofErr w:type="gramEnd"/>
            <w:r w:rsidRPr="005622D2">
              <w:rPr>
                <w:rFonts w:cs="Calibri"/>
                <w:sz w:val="20"/>
                <w:szCs w:val="20"/>
              </w:rPr>
              <w:t xml:space="preserve"> sulle loro esperienze e il supporto che hanno ricevuto sono stati tutti positivi. A 6 mesi dal termine del tirocinio, 42 partecipanti hanno trovato occupazione o avviato percorsi di formazione professionale grazie alle competenze acquisite attraverso l'esperienza di mobilità. Il progetto consente anche ai giovani svantaggiati di sperimentare culture diverse.</w:t>
            </w:r>
          </w:p>
          <w:p w14:paraId="79161C75" w14:textId="171FA001" w:rsidR="0057704A" w:rsidRPr="005622D2" w:rsidRDefault="004A66A7" w:rsidP="005622D2">
            <w:pPr>
              <w:pStyle w:val="Standard"/>
              <w:spacing w:after="0"/>
              <w:jc w:val="both"/>
              <w:rPr>
                <w:rFonts w:cs="Calibri"/>
              </w:rPr>
            </w:pPr>
            <w:r w:rsidRPr="005622D2">
              <w:rPr>
                <w:rFonts w:cs="Calibri"/>
                <w:color w:val="5B9BD5"/>
                <w:sz w:val="20"/>
                <w:szCs w:val="20"/>
              </w:rPr>
              <w:t xml:space="preserve">Potenziale di mainstreaming/scaling up. </w:t>
            </w:r>
            <w:r w:rsidRPr="005622D2">
              <w:rPr>
                <w:rFonts w:cs="Calibri"/>
                <w:sz w:val="20"/>
                <w:szCs w:val="20"/>
              </w:rPr>
              <w:t xml:space="preserve">Il 50% del budget dell'AGFE per SAS Mobility proviene dal Fondo sociale europeo (FSE). Considerato l'impatto positivo che il progetto ha avuto sin dal suo inizio, anche le società private hanno iniziato a fornire finanziamenti. Lo staff di SAS Mobility, insieme alle organizzazioni partner, sta attualmente riflettendo su come sviluppare ulteriormente il progetto nel corso del 2020 per ottenere ulteriori finanziamenti FSE e/o finanziamenti da società private. Il potenziale per il trasferimento in un altro contesto è forte. Le condizioni chiave per un trasferimento riuscito in un altro contesto </w:t>
            </w:r>
            <w:r w:rsidR="005622D2" w:rsidRPr="005622D2">
              <w:rPr>
                <w:rFonts w:cs="Calibri"/>
                <w:sz w:val="20"/>
                <w:szCs w:val="20"/>
              </w:rPr>
              <w:t>sono: la</w:t>
            </w:r>
            <w:r w:rsidRPr="005622D2">
              <w:rPr>
                <w:rFonts w:cs="Calibri"/>
                <w:sz w:val="20"/>
                <w:szCs w:val="20"/>
              </w:rPr>
              <w:t xml:space="preserve"> disponibilità di finanziamenti, una forte coalizione di partner attuatori e un programma di sostegno ben progettato per i giovani partecipanti.</w:t>
            </w:r>
          </w:p>
        </w:tc>
      </w:tr>
      <w:tr w:rsidR="0057704A" w14:paraId="79161C78" w14:textId="77777777" w:rsidTr="005622D2">
        <w:tc>
          <w:tcPr>
            <w:tcW w:w="9615" w:type="dxa"/>
            <w:tcBorders>
              <w:top w:val="single" w:sz="18" w:space="0" w:color="0070C0"/>
              <w:left w:val="single" w:sz="18" w:space="0" w:color="0070C0"/>
              <w:bottom w:val="single" w:sz="18" w:space="0" w:color="0070C0"/>
              <w:right w:val="single" w:sz="18" w:space="0" w:color="0070C0"/>
            </w:tcBorders>
            <w:shd w:val="clear" w:color="auto" w:fill="FFC000"/>
            <w:tcMar>
              <w:top w:w="0" w:type="dxa"/>
              <w:left w:w="108" w:type="dxa"/>
              <w:bottom w:w="0" w:type="dxa"/>
              <w:right w:w="108" w:type="dxa"/>
            </w:tcMar>
          </w:tcPr>
          <w:p w14:paraId="79161C77" w14:textId="77777777" w:rsidR="0057704A" w:rsidRDefault="004A66A7">
            <w:pPr>
              <w:pStyle w:val="Standard"/>
              <w:spacing w:after="0" w:line="240" w:lineRule="auto"/>
              <w:jc w:val="center"/>
            </w:pPr>
            <w:r>
              <w:rPr>
                <w:rFonts w:cs="Calibri"/>
                <w:b/>
                <w:bCs/>
                <w:color w:val="00000A"/>
                <w:sz w:val="20"/>
                <w:szCs w:val="20"/>
                <w:lang w:eastAsia="it-IT"/>
              </w:rPr>
              <w:t xml:space="preserve">3.Inclusione attiva dei gruppi vulnerabili  </w:t>
            </w:r>
          </w:p>
        </w:tc>
      </w:tr>
      <w:tr w:rsidR="0057704A" w14:paraId="79161C7B" w14:textId="77777777" w:rsidTr="005622D2">
        <w:tc>
          <w:tcPr>
            <w:tcW w:w="9615" w:type="dxa"/>
            <w:tcBorders>
              <w:top w:val="single" w:sz="18" w:space="0" w:color="0070C0"/>
              <w:left w:val="single" w:sz="18" w:space="0" w:color="0070C0"/>
              <w:right w:val="single" w:sz="18" w:space="0" w:color="0070C0"/>
            </w:tcBorders>
            <w:shd w:val="clear" w:color="auto" w:fill="FFC000"/>
            <w:tcMar>
              <w:top w:w="0" w:type="dxa"/>
              <w:left w:w="108" w:type="dxa"/>
              <w:bottom w:w="0" w:type="dxa"/>
              <w:right w:w="108" w:type="dxa"/>
            </w:tcMar>
          </w:tcPr>
          <w:p w14:paraId="79161C79" w14:textId="77777777" w:rsidR="0057704A" w:rsidRDefault="004A66A7">
            <w:pPr>
              <w:pStyle w:val="Standard"/>
              <w:shd w:val="clear" w:color="auto" w:fill="FFD966"/>
              <w:spacing w:after="0" w:line="240" w:lineRule="auto"/>
              <w:jc w:val="center"/>
            </w:pPr>
            <w:r>
              <w:rPr>
                <w:rFonts w:cs="Calibri"/>
                <w:b/>
                <w:bCs/>
                <w:color w:val="002060"/>
                <w:sz w:val="20"/>
                <w:szCs w:val="20"/>
                <w:lang w:eastAsia="it-IT"/>
              </w:rPr>
              <w:t>BELGIO</w:t>
            </w:r>
          </w:p>
          <w:p w14:paraId="79161C7A" w14:textId="77777777" w:rsidR="0057704A" w:rsidRDefault="004A66A7">
            <w:pPr>
              <w:pStyle w:val="Standard"/>
              <w:shd w:val="clear" w:color="auto" w:fill="FFD966"/>
              <w:spacing w:after="0" w:line="240" w:lineRule="auto"/>
              <w:jc w:val="center"/>
            </w:pPr>
            <w:r>
              <w:rPr>
                <w:rFonts w:cs="Calibri"/>
                <w:b/>
                <w:bCs/>
                <w:color w:val="002060"/>
                <w:sz w:val="20"/>
                <w:szCs w:val="20"/>
                <w:lang w:eastAsia="it-IT"/>
              </w:rPr>
              <w:t>Innovazione sociale nell'ambito del Fondo sociale europeo nelle Fiandre</w:t>
            </w:r>
          </w:p>
        </w:tc>
      </w:tr>
      <w:tr w:rsidR="0057704A" w14:paraId="79161C8A" w14:textId="77777777" w:rsidTr="00331DA9">
        <w:tc>
          <w:tcPr>
            <w:tcW w:w="9615" w:type="dxa"/>
            <w:tcBorders>
              <w:left w:val="single" w:sz="18" w:space="0" w:color="0070C0"/>
              <w:bottom w:val="single" w:sz="18" w:space="0" w:color="0070C0"/>
              <w:right w:val="single" w:sz="18" w:space="0" w:color="0070C0"/>
            </w:tcBorders>
            <w:shd w:val="clear" w:color="auto" w:fill="FFFFFF"/>
            <w:tcMar>
              <w:top w:w="0" w:type="dxa"/>
              <w:left w:w="108" w:type="dxa"/>
              <w:bottom w:w="0" w:type="dxa"/>
              <w:right w:w="108" w:type="dxa"/>
            </w:tcMar>
          </w:tcPr>
          <w:p w14:paraId="79161C7C" w14:textId="77777777" w:rsidR="0057704A" w:rsidRDefault="004A66A7">
            <w:pPr>
              <w:pStyle w:val="Standard"/>
              <w:spacing w:after="0" w:line="240" w:lineRule="auto"/>
              <w:jc w:val="both"/>
            </w:pPr>
            <w:r>
              <w:rPr>
                <w:rFonts w:cs="Calibri"/>
                <w:color w:val="5B9BD5"/>
                <w:sz w:val="20"/>
                <w:szCs w:val="20"/>
                <w:lang w:eastAsia="it-IT"/>
              </w:rPr>
              <w:t>Problemi affrontati</w:t>
            </w:r>
          </w:p>
          <w:p w14:paraId="79161C7D" w14:textId="77777777" w:rsidR="0057704A" w:rsidRDefault="004A66A7">
            <w:pPr>
              <w:pStyle w:val="Standard"/>
              <w:spacing w:after="0" w:line="240" w:lineRule="auto"/>
              <w:jc w:val="both"/>
            </w:pPr>
            <w:r>
              <w:rPr>
                <w:rFonts w:cs="Calibri"/>
                <w:sz w:val="20"/>
                <w:szCs w:val="20"/>
                <w:lang w:eastAsia="it-IT"/>
              </w:rPr>
              <w:t>Gli innovatori sociali possono incontrare alcuni ostacoli nell'ideazione e nell'attuazione di progetti finanziati direttamente dal Fondo sociale europeo (FSE). Dover conseguire risultati ambiziosi - come un elevato numero di beneficiari o risultati occupazionali inclusivi - può ostacolare la partecipazione delle organizzazioni più piccole in progetti sperimentali, in particolare quelle che non hanno accesso ad un supporto da parte di esperti. Uno studio del 2018 sull'esperienza dei beneficiari del FSE ha mostrato che circa il 90% ritiene che sia necessario un maggiore sostegno per consentire la loro piena partecipazione al FSE, in particolare per le ONG e i piccoli operatori privati.</w:t>
            </w:r>
          </w:p>
          <w:p w14:paraId="79161C7E"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7F" w14:textId="77777777" w:rsidR="0057704A" w:rsidRDefault="004A66A7">
            <w:pPr>
              <w:pStyle w:val="Standard"/>
              <w:spacing w:after="0" w:line="240" w:lineRule="auto"/>
              <w:jc w:val="both"/>
            </w:pPr>
            <w:r>
              <w:rPr>
                <w:rFonts w:cs="Calibri"/>
                <w:sz w:val="20"/>
                <w:szCs w:val="20"/>
                <w:lang w:eastAsia="it-IT"/>
              </w:rPr>
              <w:t>La regione belga delle Fiandre, che ha stanziato l'8,5% del bilancio complessivo del FSE (33,8 milioni di euro) per la priorità dell'innovazione sociale, ha affrontato questa sfida introducendo e sviluppando un pacchetto di supporto dedicato di orientamento, strumenti e servizi di sviluppo delle capacità per le organizzazioni socialmente innovative che utilizzano il FSE. Il sostegno mira ad aiutare i progetti di innovazione sociale nella loro preparazione, implementazione e scalabilità. Per ricevere il finanziamento, le proposte devono essere esplicitamente incentrate sull'interazione tra fornitori di servizi e utenti, dove l'utente è un lavoratore dipendente o una persona in cerca di lavoro che si trova ad affrontare una specifica sfida sociale o lavorativa. L'attenzione si concentra quindi sulla fornitura di servizi innovativi a diretto beneficio degli utenti.</w:t>
            </w:r>
          </w:p>
          <w:p w14:paraId="79161C80" w14:textId="77777777" w:rsidR="0057704A" w:rsidRDefault="004A66A7">
            <w:pPr>
              <w:pStyle w:val="Standard"/>
              <w:spacing w:after="0" w:line="240" w:lineRule="auto"/>
              <w:jc w:val="both"/>
            </w:pPr>
            <w:r>
              <w:rPr>
                <w:rFonts w:cs="Calibri"/>
                <w:sz w:val="20"/>
                <w:szCs w:val="20"/>
                <w:lang w:eastAsia="it-IT"/>
              </w:rPr>
              <w:t>I bandi di finanziamento vengono pubblicati regolarmente e sono strutturati in due tipi diversi:</w:t>
            </w:r>
          </w:p>
          <w:p w14:paraId="79161C81" w14:textId="77777777" w:rsidR="0057704A" w:rsidRDefault="004A66A7">
            <w:pPr>
              <w:pStyle w:val="Paragrafoelenco"/>
              <w:numPr>
                <w:ilvl w:val="0"/>
                <w:numId w:val="65"/>
              </w:numPr>
              <w:spacing w:after="0" w:line="240" w:lineRule="auto"/>
              <w:jc w:val="both"/>
            </w:pPr>
            <w:r>
              <w:rPr>
                <w:rFonts w:cs="Calibri"/>
                <w:b/>
                <w:bCs/>
                <w:sz w:val="20"/>
                <w:szCs w:val="20"/>
                <w:lang w:eastAsia="it-IT"/>
              </w:rPr>
              <w:t>innovazione attraverso l'esplorazione</w:t>
            </w:r>
            <w:r>
              <w:rPr>
                <w:rFonts w:cs="Calibri"/>
                <w:sz w:val="20"/>
                <w:szCs w:val="20"/>
                <w:lang w:eastAsia="it-IT"/>
              </w:rPr>
              <w:t xml:space="preserve"> - per progetti che vogliono partire da una sfida sociale e, sulla base dell'esplorazione, ideare nuovi concetti per affrontarla;</w:t>
            </w:r>
          </w:p>
          <w:p w14:paraId="79161C82" w14:textId="77777777" w:rsidR="0057704A" w:rsidRDefault="004A66A7">
            <w:pPr>
              <w:pStyle w:val="Paragrafoelenco"/>
              <w:numPr>
                <w:ilvl w:val="0"/>
                <w:numId w:val="26"/>
              </w:numPr>
              <w:spacing w:after="0" w:line="240" w:lineRule="auto"/>
              <w:jc w:val="both"/>
            </w:pPr>
            <w:r>
              <w:rPr>
                <w:rFonts w:cs="Calibri"/>
                <w:b/>
                <w:bCs/>
                <w:sz w:val="20"/>
                <w:szCs w:val="20"/>
                <w:lang w:eastAsia="it-IT"/>
              </w:rPr>
              <w:t>innovazione attraverso l'adattamento</w:t>
            </w:r>
            <w:r>
              <w:rPr>
                <w:rFonts w:cs="Calibri"/>
                <w:sz w:val="20"/>
                <w:szCs w:val="20"/>
                <w:lang w:eastAsia="it-IT"/>
              </w:rPr>
              <w:t xml:space="preserve"> - per progetti che prendono un concetto già esistente, per il quale esistono evidenze di efficacia, al fine di svilupparlo e testarlo direttamente.</w:t>
            </w:r>
          </w:p>
          <w:p w14:paraId="79161C83" w14:textId="77777777" w:rsidR="0057704A" w:rsidRDefault="004A66A7">
            <w:pPr>
              <w:pStyle w:val="Standard"/>
              <w:spacing w:after="0" w:line="240" w:lineRule="auto"/>
              <w:jc w:val="both"/>
            </w:pPr>
            <w:r>
              <w:rPr>
                <w:rFonts w:cs="Calibri"/>
                <w:sz w:val="20"/>
                <w:szCs w:val="20"/>
                <w:lang w:eastAsia="it-IT"/>
              </w:rPr>
              <w:t xml:space="preserve">Le proposte di esplorazione vengono selezionate in fasi: la fase 1 è dedicata alla ricerca, alla generazione di idee, alla scrittura del concetto e alla prototipazione iniziale; la fase 2 alla prototipazione rapida e in tempo reale, al pilotaggio e alla valutazione dell'impatto. I progetti selezionati sono seguiti direttamente </w:t>
            </w:r>
            <w:proofErr w:type="gramStart"/>
            <w:r>
              <w:rPr>
                <w:rFonts w:cs="Calibri"/>
                <w:sz w:val="20"/>
                <w:szCs w:val="20"/>
                <w:lang w:eastAsia="it-IT"/>
              </w:rPr>
              <w:t>dal team</w:t>
            </w:r>
            <w:proofErr w:type="gramEnd"/>
            <w:r>
              <w:rPr>
                <w:rFonts w:cs="Calibri"/>
                <w:sz w:val="20"/>
                <w:szCs w:val="20"/>
                <w:lang w:eastAsia="it-IT"/>
              </w:rPr>
              <w:t xml:space="preserve"> per l'innovazione dell'autorità di gestione del FSE. Questi esperti aiutano gli innovatori sociali a dettagliare la logica generale del servizio fornito, a progettare il business plan, a garantire che il servizio sia finanziariamente sostenibile e a sviluppare metodi innovativi di organizzazione del lavoro, se necessario.</w:t>
            </w:r>
          </w:p>
          <w:p w14:paraId="79161C84"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C85" w14:textId="77777777" w:rsidR="0057704A" w:rsidRDefault="004A66A7">
            <w:pPr>
              <w:pStyle w:val="Standard"/>
              <w:spacing w:after="0" w:line="240" w:lineRule="auto"/>
              <w:jc w:val="both"/>
            </w:pPr>
            <w:r>
              <w:rPr>
                <w:rFonts w:cs="Calibri"/>
                <w:sz w:val="20"/>
                <w:szCs w:val="20"/>
                <w:lang w:eastAsia="it-IT"/>
              </w:rPr>
              <w:lastRenderedPageBreak/>
              <w:t xml:space="preserve">Nel 2018 si sono svolte 4 tornate di bandi e 93 progetti hanno presentato domanda di finanziamento: 35 per l'innovazione attraverso l'esplorazione e 58 per l'innovazione attraverso l'adattamento. I progetti hanno riguardato i seguenti temi: </w:t>
            </w:r>
            <w:r>
              <w:rPr>
                <w:rFonts w:cs="Calibri"/>
                <w:b/>
                <w:bCs/>
                <w:sz w:val="20"/>
                <w:szCs w:val="20"/>
                <w:lang w:eastAsia="it-IT"/>
              </w:rPr>
              <w:t>adattamento al cambiamento</w:t>
            </w:r>
            <w:r>
              <w:rPr>
                <w:rFonts w:cs="Calibri"/>
                <w:sz w:val="20"/>
                <w:szCs w:val="20"/>
                <w:lang w:eastAsia="it-IT"/>
              </w:rPr>
              <w:t xml:space="preserve">, </w:t>
            </w:r>
            <w:r>
              <w:rPr>
                <w:rFonts w:cs="Calibri"/>
                <w:b/>
                <w:bCs/>
                <w:sz w:val="20"/>
                <w:szCs w:val="20"/>
                <w:lang w:eastAsia="it-IT"/>
              </w:rPr>
              <w:t>inclusione attiva</w:t>
            </w:r>
            <w:r>
              <w:rPr>
                <w:rFonts w:cs="Calibri"/>
                <w:sz w:val="20"/>
                <w:szCs w:val="20"/>
                <w:lang w:eastAsia="it-IT"/>
              </w:rPr>
              <w:t xml:space="preserve">, </w:t>
            </w:r>
            <w:r>
              <w:rPr>
                <w:rFonts w:cs="Calibri"/>
                <w:b/>
                <w:bCs/>
                <w:sz w:val="20"/>
                <w:szCs w:val="20"/>
                <w:lang w:eastAsia="it-IT"/>
              </w:rPr>
              <w:t>imprenditorialità</w:t>
            </w:r>
            <w:r>
              <w:rPr>
                <w:rFonts w:cs="Calibri"/>
                <w:sz w:val="20"/>
                <w:szCs w:val="20"/>
                <w:lang w:eastAsia="it-IT"/>
              </w:rPr>
              <w:t xml:space="preserve">, </w:t>
            </w:r>
            <w:r>
              <w:rPr>
                <w:rFonts w:cs="Calibri"/>
                <w:b/>
                <w:bCs/>
                <w:sz w:val="20"/>
                <w:szCs w:val="20"/>
                <w:lang w:eastAsia="it-IT"/>
              </w:rPr>
              <w:t>apprendimento permanente</w:t>
            </w:r>
            <w:r>
              <w:rPr>
                <w:rFonts w:cs="Calibri"/>
                <w:sz w:val="20"/>
                <w:szCs w:val="20"/>
                <w:lang w:eastAsia="it-IT"/>
              </w:rPr>
              <w:t xml:space="preserve"> e </w:t>
            </w:r>
            <w:r>
              <w:rPr>
                <w:rFonts w:cs="Calibri"/>
                <w:b/>
                <w:bCs/>
                <w:sz w:val="20"/>
                <w:szCs w:val="20"/>
                <w:lang w:eastAsia="it-IT"/>
              </w:rPr>
              <w:t>riduzione dell'abbandono scolastico</w:t>
            </w:r>
            <w:r>
              <w:rPr>
                <w:rFonts w:cs="Calibri"/>
                <w:sz w:val="20"/>
                <w:szCs w:val="20"/>
                <w:lang w:eastAsia="it-IT"/>
              </w:rPr>
              <w:t xml:space="preserve">. Un'ampia percentuale dei progetti presentati e selezionati si è concentrata in modo specifico sui gruppi vulnerabili, come i </w:t>
            </w:r>
            <w:r>
              <w:rPr>
                <w:rFonts w:cs="Calibri"/>
                <w:sz w:val="20"/>
                <w:szCs w:val="20"/>
                <w:u w:val="single"/>
                <w:lang w:eastAsia="it-IT"/>
              </w:rPr>
              <w:t>migranti,</w:t>
            </w:r>
            <w:r>
              <w:rPr>
                <w:rFonts w:cs="Calibri"/>
                <w:sz w:val="20"/>
                <w:szCs w:val="20"/>
                <w:lang w:eastAsia="it-IT"/>
              </w:rPr>
              <w:t xml:space="preserve"> le </w:t>
            </w:r>
            <w:r>
              <w:rPr>
                <w:rFonts w:cs="Calibri"/>
                <w:sz w:val="20"/>
                <w:szCs w:val="20"/>
                <w:u w:val="single"/>
                <w:lang w:eastAsia="it-IT"/>
              </w:rPr>
              <w:t>persone con disabilità</w:t>
            </w:r>
            <w:r>
              <w:rPr>
                <w:rFonts w:cs="Calibri"/>
                <w:sz w:val="20"/>
                <w:szCs w:val="20"/>
                <w:lang w:eastAsia="it-IT"/>
              </w:rPr>
              <w:t xml:space="preserve"> e le </w:t>
            </w:r>
            <w:r>
              <w:rPr>
                <w:rFonts w:cs="Calibri"/>
                <w:sz w:val="20"/>
                <w:szCs w:val="20"/>
                <w:u w:val="single"/>
                <w:lang w:eastAsia="it-IT"/>
              </w:rPr>
              <w:t>persone e le famiglie in condizioni di povertà</w:t>
            </w:r>
            <w:r>
              <w:rPr>
                <w:rFonts w:cs="Calibri"/>
                <w:sz w:val="20"/>
                <w:szCs w:val="20"/>
                <w:lang w:eastAsia="it-IT"/>
              </w:rPr>
              <w:t>. Altri si sono concentrati sulle risorse umane, sulla riduzione dell'abbandono scolastico, sull'apprendimento permanente e sullo sviluppo di competenze orientate al futuro.</w:t>
            </w:r>
          </w:p>
          <w:p w14:paraId="79161C86" w14:textId="77777777" w:rsidR="0057704A" w:rsidRDefault="004A66A7">
            <w:pPr>
              <w:pStyle w:val="Standard"/>
              <w:spacing w:after="0" w:line="240" w:lineRule="auto"/>
              <w:jc w:val="both"/>
            </w:pPr>
            <w:r>
              <w:rPr>
                <w:rFonts w:cs="Calibri"/>
                <w:sz w:val="20"/>
                <w:szCs w:val="20"/>
                <w:lang w:eastAsia="it-IT"/>
              </w:rPr>
              <w:t>Il 35% delle proposte di esplorazione presentate (19 progetti) è stato approvato per la fase 1 (ricerca, generazione di idee, scrittura di concetti e prototipazione). Di queste, otto sono state approvate per la fase 2 (prototipazione dal vivo, pilotaggio e valutazione dell'impatto). Il 41% delle proposte di adattamento (16 progetti) è stato approvato.</w:t>
            </w:r>
          </w:p>
          <w:p w14:paraId="79161C87" w14:textId="77777777" w:rsidR="0057704A" w:rsidRDefault="004A66A7">
            <w:pPr>
              <w:pStyle w:val="Standard"/>
              <w:spacing w:after="0" w:line="240" w:lineRule="auto"/>
              <w:jc w:val="both"/>
            </w:pPr>
            <w:r>
              <w:rPr>
                <w:rFonts w:cs="Calibri"/>
                <w:sz w:val="20"/>
                <w:szCs w:val="20"/>
                <w:lang w:eastAsia="it-IT"/>
              </w:rPr>
              <w:t>La valutazione condotta sulla prima tornata di bandi ha dimostrato che tutte le parti interessate coinvolte nel processo sono in grado di vedere i benefici di questo sistema nel sostenere l'innovazione sociale. I promotori dei progetti hanno visto un'opportunità unica per sperimentare cose nuove, imparare e concentrarsi sugli utenti. La grande maggioranza dei promotori di progetto ha apprezzato anche il coaching da parte del personale dell'autorità di gestione del FSE e dei partner esperti.</w:t>
            </w:r>
          </w:p>
          <w:p w14:paraId="79161C88"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C89" w14:textId="77777777" w:rsidR="0057704A" w:rsidRDefault="004A66A7">
            <w:pPr>
              <w:pStyle w:val="Standard"/>
              <w:spacing w:after="0" w:line="240" w:lineRule="auto"/>
              <w:jc w:val="both"/>
            </w:pPr>
            <w:r>
              <w:rPr>
                <w:rFonts w:cs="Calibri"/>
                <w:sz w:val="20"/>
                <w:szCs w:val="20"/>
                <w:lang w:eastAsia="it-IT"/>
              </w:rPr>
              <w:t>Il sostegno all'innovazione sociale è stato reso possibile non solo grazie all'attenzione del regolamento del FSE per la sperimentazione e al fatto che le Fiandre dedicano finanziamenti all'innovazione sociale, ma anche al forte orientamento transnazionale dell'autorità di gestione del FSE fiamminga. L’AdG si è infatti impegnata in un progetto di ricerca e sviluppo transnazionale per identificare e imparare dalle buone pratiche di altri SM (Polonia, Svezia, Repubblica Ceca) su come sostenere l'innovazione.  Sulla base di questa esperienza, l’AdG dispone ora di un meccanismo consolidato di sostegno all'innovazione sociale, codificato in un kit di strumenti, che ha il potenziale per essere trasferito in altri contesti, in particolare dove il FSE viene utilizzato per finanziare l'innovazione sociale.</w:t>
            </w:r>
          </w:p>
        </w:tc>
      </w:tr>
      <w:tr w:rsidR="0057704A" w14:paraId="79161C8C" w14:textId="77777777" w:rsidTr="00331DA9">
        <w:tc>
          <w:tcPr>
            <w:tcW w:w="9615" w:type="dxa"/>
            <w:tcBorders>
              <w:top w:val="single" w:sz="18" w:space="0" w:color="0070C0"/>
              <w:left w:val="single" w:sz="18" w:space="0" w:color="0070C0"/>
              <w:bottom w:val="single" w:sz="18" w:space="0" w:color="0070C0"/>
              <w:right w:val="single" w:sz="18" w:space="0" w:color="0070C0"/>
            </w:tcBorders>
            <w:shd w:val="clear" w:color="auto" w:fill="FFD966"/>
            <w:tcMar>
              <w:top w:w="0" w:type="dxa"/>
              <w:left w:w="108" w:type="dxa"/>
              <w:bottom w:w="0" w:type="dxa"/>
              <w:right w:w="108" w:type="dxa"/>
            </w:tcMar>
          </w:tcPr>
          <w:p w14:paraId="79161C8B" w14:textId="77777777" w:rsidR="0057704A" w:rsidRDefault="004A66A7">
            <w:pPr>
              <w:pStyle w:val="Standard"/>
              <w:spacing w:after="0" w:line="240" w:lineRule="auto"/>
              <w:jc w:val="center"/>
            </w:pPr>
            <w:r>
              <w:rPr>
                <w:rFonts w:cs="Calibri"/>
                <w:b/>
                <w:bCs/>
                <w:color w:val="00000A"/>
                <w:sz w:val="20"/>
                <w:szCs w:val="20"/>
                <w:lang w:eastAsia="it-IT"/>
              </w:rPr>
              <w:lastRenderedPageBreak/>
              <w:t>3.1 Inclusione socio lavorativa persone con disabilità</w:t>
            </w:r>
          </w:p>
        </w:tc>
      </w:tr>
      <w:tr w:rsidR="0057704A" w14:paraId="79161C8F" w14:textId="77777777" w:rsidTr="00331DA9">
        <w:tc>
          <w:tcPr>
            <w:tcW w:w="9615" w:type="dxa"/>
            <w:tcBorders>
              <w:top w:val="single" w:sz="18" w:space="0" w:color="0070C0"/>
              <w:left w:val="single" w:sz="18" w:space="0" w:color="0070C0"/>
              <w:right w:val="single" w:sz="18" w:space="0" w:color="0070C0"/>
            </w:tcBorders>
            <w:shd w:val="clear" w:color="auto" w:fill="FFD966"/>
            <w:tcMar>
              <w:top w:w="0" w:type="dxa"/>
              <w:left w:w="108" w:type="dxa"/>
              <w:bottom w:w="0" w:type="dxa"/>
              <w:right w:w="108" w:type="dxa"/>
            </w:tcMar>
          </w:tcPr>
          <w:p w14:paraId="79161C8D" w14:textId="77777777" w:rsidR="0057704A" w:rsidRDefault="004A66A7">
            <w:pPr>
              <w:pStyle w:val="Standard"/>
              <w:spacing w:after="0" w:line="240" w:lineRule="auto"/>
              <w:jc w:val="center"/>
            </w:pPr>
            <w:r>
              <w:rPr>
                <w:rFonts w:cs="Calibri"/>
                <w:b/>
                <w:bCs/>
                <w:caps/>
                <w:color w:val="00000A"/>
                <w:sz w:val="20"/>
                <w:szCs w:val="20"/>
                <w:lang w:eastAsia="it-IT"/>
              </w:rPr>
              <w:t>Bulgaria</w:t>
            </w:r>
          </w:p>
          <w:p w14:paraId="79161C8E" w14:textId="77777777" w:rsidR="0057704A" w:rsidRDefault="004A66A7">
            <w:pPr>
              <w:pStyle w:val="Standard"/>
              <w:spacing w:after="0" w:line="240" w:lineRule="auto"/>
              <w:jc w:val="center"/>
            </w:pPr>
            <w:proofErr w:type="spellStart"/>
            <w:r>
              <w:rPr>
                <w:rFonts w:cs="Calibri"/>
                <w:b/>
                <w:bCs/>
                <w:color w:val="00000A"/>
                <w:sz w:val="20"/>
                <w:szCs w:val="20"/>
                <w:lang w:eastAsia="it-IT"/>
              </w:rPr>
              <w:t>Jamba</w:t>
            </w:r>
            <w:proofErr w:type="spellEnd"/>
          </w:p>
        </w:tc>
      </w:tr>
      <w:tr w:rsidR="0057704A" w14:paraId="79161C99" w14:textId="77777777" w:rsidTr="00331DA9">
        <w:tc>
          <w:tcPr>
            <w:tcW w:w="9615" w:type="dxa"/>
            <w:tcBorders>
              <w:left w:val="single" w:sz="18" w:space="0" w:color="0070C0"/>
              <w:bottom w:val="single" w:sz="18" w:space="0" w:color="0070C0"/>
              <w:right w:val="single" w:sz="18" w:space="0" w:color="0070C0"/>
            </w:tcBorders>
            <w:shd w:val="clear" w:color="auto" w:fill="FFFFFF"/>
            <w:tcMar>
              <w:top w:w="0" w:type="dxa"/>
              <w:left w:w="108" w:type="dxa"/>
              <w:bottom w:w="0" w:type="dxa"/>
              <w:right w:w="108" w:type="dxa"/>
            </w:tcMar>
          </w:tcPr>
          <w:p w14:paraId="79161C90" w14:textId="77777777" w:rsidR="0057704A" w:rsidRDefault="004A66A7">
            <w:pPr>
              <w:pStyle w:val="Standard"/>
              <w:spacing w:after="0" w:line="240" w:lineRule="auto"/>
            </w:pPr>
            <w:r>
              <w:rPr>
                <w:rFonts w:cs="Calibri"/>
                <w:color w:val="5B9BD5"/>
                <w:sz w:val="20"/>
                <w:szCs w:val="20"/>
                <w:lang w:eastAsia="it-IT"/>
              </w:rPr>
              <w:t>Problemi affrontati</w:t>
            </w:r>
          </w:p>
          <w:p w14:paraId="79161C91" w14:textId="77777777" w:rsidR="0057704A" w:rsidRDefault="004A66A7">
            <w:pPr>
              <w:pStyle w:val="Standard"/>
              <w:spacing w:after="0" w:line="240" w:lineRule="auto"/>
              <w:jc w:val="both"/>
            </w:pPr>
            <w:r>
              <w:rPr>
                <w:rFonts w:cs="Calibri"/>
                <w:sz w:val="20"/>
                <w:szCs w:val="20"/>
                <w:lang w:eastAsia="it-IT"/>
              </w:rPr>
              <w:t>Le persone con disabilità incontrano notevoli ostacoli all'integrazione sociale ed economica in Bulgaria. L'inclusione nel mercato del lavoro, l'accesso alle pari opportunità di istruzione e alla formazione professionale sono aree di preoccupazione, in quanto compromettono il benessere economico delle persone con disabilità e impediscono loro di raggiungere il pieno potenziale.</w:t>
            </w:r>
          </w:p>
          <w:p w14:paraId="79161C92"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93" w14:textId="44449398" w:rsidR="0057704A" w:rsidRDefault="004A66A7">
            <w:pPr>
              <w:pStyle w:val="Standard"/>
              <w:spacing w:after="0" w:line="240" w:lineRule="auto"/>
              <w:jc w:val="both"/>
            </w:pPr>
            <w:proofErr w:type="spellStart"/>
            <w:r>
              <w:rPr>
                <w:rFonts w:cs="Calibri"/>
                <w:sz w:val="20"/>
                <w:szCs w:val="20"/>
                <w:lang w:eastAsia="it-IT"/>
              </w:rPr>
              <w:t>Jamba</w:t>
            </w:r>
            <w:proofErr w:type="spellEnd"/>
            <w:r>
              <w:rPr>
                <w:rFonts w:cs="Calibri"/>
                <w:sz w:val="20"/>
                <w:szCs w:val="20"/>
                <w:lang w:eastAsia="it-IT"/>
              </w:rPr>
              <w:t xml:space="preserve"> offre formazione alle persone disabili in cerca di lavoro e le mette in contatto con i datori di lavoro interessati. In particolare, fornisce un supporto individuale alle persone con disabilità quando si candidano per un lavoro e una guida personalizzata durante l'intero processo di candidatura. L'iniziativa dispone anche di una piattaforma online progettata per mettere in contatto i candidati con disabilità con i datori di lavoro. A differenza di molte iniziative che si concentrano solo sul lato della domanda, </w:t>
            </w:r>
            <w:proofErr w:type="spellStart"/>
            <w:r>
              <w:rPr>
                <w:rFonts w:cs="Calibri"/>
                <w:sz w:val="20"/>
                <w:szCs w:val="20"/>
                <w:lang w:eastAsia="it-IT"/>
              </w:rPr>
              <w:t>Jamba</w:t>
            </w:r>
            <w:proofErr w:type="spellEnd"/>
            <w:r>
              <w:rPr>
                <w:rFonts w:cs="Calibri"/>
                <w:sz w:val="20"/>
                <w:szCs w:val="20"/>
                <w:lang w:eastAsia="it-IT"/>
              </w:rPr>
              <w:t xml:space="preserve"> affronta anche il lato dell'offerta del divario occupazionale dei </w:t>
            </w:r>
            <w:r w:rsidR="00331DA9">
              <w:rPr>
                <w:rFonts w:cs="Calibri"/>
                <w:sz w:val="20"/>
                <w:szCs w:val="20"/>
                <w:lang w:eastAsia="it-IT"/>
              </w:rPr>
              <w:t>disabili, aiutando</w:t>
            </w:r>
            <w:r>
              <w:rPr>
                <w:rFonts w:cs="Calibri"/>
                <w:sz w:val="20"/>
                <w:szCs w:val="20"/>
                <w:lang w:eastAsia="it-IT"/>
              </w:rPr>
              <w:t xml:space="preserve"> i datori di lavoro a creare un luogo di lavoro accessibile per le persone con diverse abilità. Essa fornisce un supporto alle aziende valutando lo spazio di lavoro esistente, analizzando le potenziali barriere per le persone con disabilità, testando le strutture, installando nuove attrezzature e fornendo formazione sul funzionamento di ogni nuovo impianto. Le aziende sono interessate a questi servizi perché, impiegando una forza lavoro più diversificata, contribuiscono alle loro strategie di responsabilità sociale d'impresa. Un kit di strumenti per i datori di lavoro, sviluppato da </w:t>
            </w:r>
            <w:proofErr w:type="spellStart"/>
            <w:r>
              <w:rPr>
                <w:rFonts w:cs="Calibri"/>
                <w:sz w:val="20"/>
                <w:szCs w:val="20"/>
                <w:lang w:eastAsia="it-IT"/>
              </w:rPr>
              <w:t>Jamba</w:t>
            </w:r>
            <w:proofErr w:type="spellEnd"/>
            <w:r>
              <w:rPr>
                <w:rFonts w:cs="Calibri"/>
                <w:sz w:val="20"/>
                <w:szCs w:val="20"/>
                <w:lang w:eastAsia="it-IT"/>
              </w:rPr>
              <w:t xml:space="preserve"> con il supporto di Ernst &amp; Young (EY), fornisce ai datori di lavoro informazioni sui problemi legati all'assunzione di persone con abilità diverse e su come superarli.</w:t>
            </w:r>
          </w:p>
          <w:p w14:paraId="79161C94"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C95" w14:textId="77777777" w:rsidR="0057704A" w:rsidRDefault="004A66A7">
            <w:pPr>
              <w:pStyle w:val="Standard"/>
              <w:spacing w:after="0" w:line="240" w:lineRule="auto"/>
              <w:jc w:val="both"/>
            </w:pPr>
            <w:r>
              <w:rPr>
                <w:rFonts w:cs="Calibri"/>
                <w:color w:val="00000A"/>
                <w:sz w:val="20"/>
                <w:szCs w:val="20"/>
                <w:lang w:eastAsia="it-IT"/>
              </w:rPr>
              <w:t xml:space="preserve">Dall'inizio del progetto nel 2016, </w:t>
            </w:r>
            <w:proofErr w:type="spellStart"/>
            <w:r>
              <w:rPr>
                <w:rFonts w:cs="Calibri"/>
                <w:color w:val="00000A"/>
                <w:sz w:val="20"/>
                <w:szCs w:val="20"/>
                <w:lang w:eastAsia="it-IT"/>
              </w:rPr>
              <w:t>Jamba</w:t>
            </w:r>
            <w:proofErr w:type="spellEnd"/>
            <w:r>
              <w:rPr>
                <w:rFonts w:cs="Calibri"/>
                <w:color w:val="00000A"/>
                <w:sz w:val="20"/>
                <w:szCs w:val="20"/>
                <w:lang w:eastAsia="it-IT"/>
              </w:rPr>
              <w:t xml:space="preserve"> ha fornito formazione a 590 persone con abilità diverse, 300 delle quali sono state sostenute nell'occupazione. </w:t>
            </w:r>
            <w:proofErr w:type="spellStart"/>
            <w:r>
              <w:rPr>
                <w:rFonts w:cs="Calibri"/>
                <w:color w:val="00000A"/>
                <w:sz w:val="20"/>
                <w:szCs w:val="20"/>
                <w:lang w:eastAsia="it-IT"/>
              </w:rPr>
              <w:t>Jamba</w:t>
            </w:r>
            <w:proofErr w:type="spellEnd"/>
            <w:r>
              <w:rPr>
                <w:rFonts w:cs="Calibri"/>
                <w:color w:val="00000A"/>
                <w:sz w:val="20"/>
                <w:szCs w:val="20"/>
                <w:lang w:eastAsia="it-IT"/>
              </w:rPr>
              <w:t xml:space="preserve"> ha 58 diverse aziende che assumono persone con abilità diverse. Uno dei risultati principali di </w:t>
            </w:r>
            <w:proofErr w:type="spellStart"/>
            <w:r>
              <w:rPr>
                <w:rFonts w:cs="Calibri"/>
                <w:color w:val="00000A"/>
                <w:sz w:val="20"/>
                <w:szCs w:val="20"/>
                <w:lang w:eastAsia="it-IT"/>
              </w:rPr>
              <w:t>Jamba</w:t>
            </w:r>
            <w:proofErr w:type="spellEnd"/>
            <w:r>
              <w:rPr>
                <w:rFonts w:cs="Calibri"/>
                <w:color w:val="00000A"/>
                <w:sz w:val="20"/>
                <w:szCs w:val="20"/>
                <w:lang w:eastAsia="it-IT"/>
              </w:rPr>
              <w:t xml:space="preserve"> è che è riuscita ad andare oltre la formazione e l'aggiornamento professionale e ha portato il tema della disabilità in un'arena più ampia, organizzando eventi pubblici con le sue aziende e organizzazioni partner.</w:t>
            </w:r>
          </w:p>
          <w:p w14:paraId="79161C96" w14:textId="77777777" w:rsidR="0057704A" w:rsidRDefault="004A66A7">
            <w:pPr>
              <w:pStyle w:val="Standard"/>
              <w:spacing w:after="0" w:line="240" w:lineRule="auto"/>
              <w:jc w:val="both"/>
              <w:rPr>
                <w:rFonts w:cs="Calibri"/>
                <w:color w:val="00000A"/>
                <w:sz w:val="20"/>
                <w:szCs w:val="20"/>
                <w:lang w:eastAsia="it-IT"/>
              </w:rPr>
            </w:pPr>
            <w:r>
              <w:rPr>
                <w:rFonts w:cs="Calibri"/>
                <w:color w:val="00000A"/>
                <w:sz w:val="20"/>
                <w:szCs w:val="20"/>
                <w:lang w:eastAsia="it-IT"/>
              </w:rPr>
              <w:t xml:space="preserve">I feedback dei datori di lavoro dimostrano che i dipendenti con diverse abilità possono raggiungere gli stessi standard di tutti gli altri dipendenti se dispongono di un ambiente di lavoro accessibile e di colleghi che li sostengono. Le persone con diverse abilità che hanno partecipato al progetto sono state altrettanto positive, affermando che </w:t>
            </w:r>
            <w:proofErr w:type="spellStart"/>
            <w:r>
              <w:rPr>
                <w:rFonts w:cs="Calibri"/>
                <w:color w:val="00000A"/>
                <w:sz w:val="20"/>
                <w:szCs w:val="20"/>
                <w:lang w:eastAsia="it-IT"/>
              </w:rPr>
              <w:t>Jamba</w:t>
            </w:r>
            <w:proofErr w:type="spellEnd"/>
            <w:r>
              <w:rPr>
                <w:rFonts w:cs="Calibri"/>
                <w:color w:val="00000A"/>
                <w:sz w:val="20"/>
                <w:szCs w:val="20"/>
                <w:lang w:eastAsia="it-IT"/>
              </w:rPr>
              <w:t xml:space="preserve"> è stata la chiave per aiutarli a "sentirsi le persone pienamente funzionali che siamo".</w:t>
            </w:r>
          </w:p>
          <w:p w14:paraId="602D7CF9" w14:textId="77777777" w:rsidR="00884992" w:rsidRDefault="00884992">
            <w:pPr>
              <w:pStyle w:val="Standard"/>
              <w:spacing w:after="0" w:line="240" w:lineRule="auto"/>
              <w:jc w:val="both"/>
            </w:pPr>
          </w:p>
          <w:p w14:paraId="79161C97"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C98" w14:textId="77777777" w:rsidR="0057704A" w:rsidRDefault="004A66A7">
            <w:pPr>
              <w:pStyle w:val="Standard"/>
              <w:spacing w:after="0" w:line="240" w:lineRule="auto"/>
              <w:jc w:val="both"/>
            </w:pPr>
            <w:proofErr w:type="spellStart"/>
            <w:r>
              <w:rPr>
                <w:rFonts w:cs="Calibri"/>
                <w:color w:val="00000A"/>
                <w:sz w:val="20"/>
                <w:szCs w:val="20"/>
                <w:lang w:eastAsia="it-IT"/>
              </w:rPr>
              <w:t>Jamba</w:t>
            </w:r>
            <w:proofErr w:type="spellEnd"/>
            <w:r>
              <w:rPr>
                <w:rFonts w:cs="Calibri"/>
                <w:color w:val="00000A"/>
                <w:sz w:val="20"/>
                <w:szCs w:val="20"/>
                <w:lang w:eastAsia="it-IT"/>
              </w:rPr>
              <w:t xml:space="preserve"> collabora con un'ampia gamma di organizzazioni bulgare e internazionali. Dato che </w:t>
            </w:r>
            <w:proofErr w:type="spellStart"/>
            <w:r>
              <w:rPr>
                <w:rFonts w:cs="Calibri"/>
                <w:color w:val="00000A"/>
                <w:sz w:val="20"/>
                <w:szCs w:val="20"/>
                <w:lang w:eastAsia="it-IT"/>
              </w:rPr>
              <w:t>Jamba</w:t>
            </w:r>
            <w:proofErr w:type="spellEnd"/>
            <w:r>
              <w:rPr>
                <w:rFonts w:cs="Calibri"/>
                <w:color w:val="00000A"/>
                <w:sz w:val="20"/>
                <w:szCs w:val="20"/>
                <w:lang w:eastAsia="it-IT"/>
              </w:rPr>
              <w:t xml:space="preserve"> ha stabilito una serie di partnership con organizzazioni in tutto il mondo e ha forti legami con aziende multinazionali, esiste un reale </w:t>
            </w:r>
            <w:r>
              <w:rPr>
                <w:rFonts w:cs="Calibri"/>
                <w:color w:val="00000A"/>
                <w:sz w:val="20"/>
                <w:szCs w:val="20"/>
                <w:lang w:eastAsia="it-IT"/>
              </w:rPr>
              <w:lastRenderedPageBreak/>
              <w:t>potenziale per integrare questo progetto in altri Paesi e settori occupazionali. Una condizione fondamentale per la trasferibilità di questa pratica in altri contesti è la presenza di una forte rete nazionale di aziende e stakeholder che si impegnano a costruire una forza lavoro più diversificata.</w:t>
            </w:r>
          </w:p>
        </w:tc>
      </w:tr>
      <w:tr w:rsidR="0057704A" w14:paraId="79161C9C" w14:textId="77777777" w:rsidTr="00331DA9">
        <w:tc>
          <w:tcPr>
            <w:tcW w:w="9615" w:type="dxa"/>
            <w:tcBorders>
              <w:top w:val="single" w:sz="18" w:space="0" w:color="0070C0"/>
              <w:left w:val="single" w:sz="12" w:space="0" w:color="0070C0"/>
              <w:bottom w:val="single" w:sz="12" w:space="0" w:color="0070C0"/>
              <w:right w:val="single" w:sz="12" w:space="0" w:color="0070C0"/>
            </w:tcBorders>
            <w:shd w:val="clear" w:color="auto" w:fill="FFD966"/>
            <w:tcMar>
              <w:top w:w="0" w:type="dxa"/>
              <w:left w:w="108" w:type="dxa"/>
              <w:bottom w:w="0" w:type="dxa"/>
              <w:right w:w="108" w:type="dxa"/>
            </w:tcMar>
          </w:tcPr>
          <w:p w14:paraId="79161C9A" w14:textId="77777777" w:rsidR="0057704A" w:rsidRDefault="004A66A7">
            <w:pPr>
              <w:pStyle w:val="Standard"/>
              <w:spacing w:after="0" w:line="240" w:lineRule="auto"/>
              <w:jc w:val="center"/>
            </w:pPr>
            <w:r>
              <w:rPr>
                <w:rFonts w:cs="Calibri"/>
                <w:b/>
                <w:bCs/>
                <w:caps/>
                <w:color w:val="00000A"/>
                <w:sz w:val="20"/>
                <w:szCs w:val="20"/>
                <w:lang w:eastAsia="it-IT"/>
              </w:rPr>
              <w:lastRenderedPageBreak/>
              <w:t>Lettonia</w:t>
            </w:r>
          </w:p>
          <w:p w14:paraId="79161C9B" w14:textId="77777777" w:rsidR="0057704A" w:rsidRDefault="004A66A7">
            <w:pPr>
              <w:pStyle w:val="Standard"/>
              <w:spacing w:after="0" w:line="240" w:lineRule="auto"/>
              <w:jc w:val="center"/>
            </w:pPr>
            <w:r>
              <w:rPr>
                <w:rFonts w:cs="Calibri"/>
                <w:b/>
                <w:bCs/>
                <w:color w:val="00000A"/>
                <w:sz w:val="20"/>
                <w:szCs w:val="20"/>
                <w:lang w:eastAsia="it-IT"/>
              </w:rPr>
              <w:t>Ali della speranza</w:t>
            </w:r>
          </w:p>
        </w:tc>
      </w:tr>
      <w:tr w:rsidR="0057704A" w14:paraId="79161CAA" w14:textId="77777777">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C9D" w14:textId="77777777" w:rsidR="0057704A" w:rsidRDefault="004A66A7">
            <w:pPr>
              <w:pStyle w:val="Standard"/>
              <w:spacing w:after="0" w:line="240" w:lineRule="auto"/>
            </w:pPr>
            <w:r>
              <w:rPr>
                <w:rFonts w:cs="Calibri"/>
                <w:color w:val="5B9BD5"/>
                <w:sz w:val="20"/>
                <w:szCs w:val="20"/>
                <w:lang w:eastAsia="it-IT"/>
              </w:rPr>
              <w:t>Problemi affrontati</w:t>
            </w:r>
          </w:p>
          <w:p w14:paraId="79161C9E" w14:textId="77777777" w:rsidR="0057704A" w:rsidRDefault="004A66A7">
            <w:pPr>
              <w:pStyle w:val="Standard"/>
              <w:spacing w:after="0" w:line="240" w:lineRule="auto"/>
              <w:jc w:val="both"/>
            </w:pPr>
            <w:r>
              <w:rPr>
                <w:rFonts w:cs="Calibri"/>
                <w:color w:val="00000A"/>
                <w:sz w:val="20"/>
                <w:szCs w:val="20"/>
                <w:lang w:eastAsia="it-IT"/>
              </w:rPr>
              <w:t>Eccessivo costo e scarsi risultati sociali degli istituti per bambini in assistenza extrafamiliare e con esigenze di cura speciali. Tali istituti, originariamente creati per fornire ai gruppi vulnerabili assistenza e riparo, non sono efficaci nel sostenere le persone a partecipare pienamente alla loro comunità e alla società in generale. La politica di deistituzionalizzazione della Lettonia del 2015 (sostenuta dal FSE), per transitare verso un modello di servizi sociali basati sulla comunità, è ancora in corso.</w:t>
            </w:r>
          </w:p>
          <w:p w14:paraId="79161C9F"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A0" w14:textId="77777777" w:rsidR="0057704A" w:rsidRDefault="004A66A7">
            <w:pPr>
              <w:pStyle w:val="Standard"/>
              <w:spacing w:after="0" w:line="240" w:lineRule="auto"/>
              <w:jc w:val="both"/>
            </w:pPr>
            <w:r>
              <w:rPr>
                <w:rFonts w:cs="Calibri"/>
                <w:sz w:val="20"/>
                <w:szCs w:val="20"/>
                <w:lang w:eastAsia="it-IT"/>
              </w:rPr>
              <w:t>Wings of Hope, che mira a migliorare la vita comunitaria di bambini e giovani con varie disabilità, è innovativa in quanto si concentra sulla capacità dei beneficiari di integrarsi pienamente nelle attività della vita quotidiana. È anche l'unica associazione in Lettonia che offre i suoi servizi a tutte le fasce d'età, mentre la maggior parte dei progetti simili si concentra solo sui bambini piccoli.</w:t>
            </w:r>
          </w:p>
          <w:p w14:paraId="79161CA1" w14:textId="77777777" w:rsidR="0057704A" w:rsidRDefault="004A66A7">
            <w:pPr>
              <w:pStyle w:val="Standard"/>
              <w:spacing w:after="0" w:line="240" w:lineRule="auto"/>
              <w:jc w:val="both"/>
            </w:pPr>
            <w:r>
              <w:rPr>
                <w:rFonts w:cs="Calibri"/>
                <w:sz w:val="20"/>
                <w:szCs w:val="20"/>
                <w:lang w:eastAsia="it-IT"/>
              </w:rPr>
              <w:t xml:space="preserve">I bambini e i giovani con disabilità partecipano ad attività che li aiutano a familiarizzare con le attività domestiche, per costruire la loro indipendenza e autosufficienza. Partecipano a laboratori che utilizzano metodi educativi nuovi e innovativi, tra cui la danza e la terapia del movimento, l'arte e la musicoterapia, la terapia della sabbia e la logopedia. L'associazione offre anche corsi di teatro, lezioni di logistica ed esercizi terapeutici. I bambini con disabilità, soprattutto quelli provenienti da famiglie con </w:t>
            </w:r>
            <w:proofErr w:type="gramStart"/>
            <w:r>
              <w:rPr>
                <w:rFonts w:cs="Calibri"/>
                <w:sz w:val="20"/>
                <w:szCs w:val="20"/>
                <w:lang w:eastAsia="it-IT"/>
              </w:rPr>
              <w:t>un background socioeconomico inferiore</w:t>
            </w:r>
            <w:proofErr w:type="gramEnd"/>
            <w:r>
              <w:rPr>
                <w:rFonts w:cs="Calibri"/>
                <w:sz w:val="20"/>
                <w:szCs w:val="20"/>
                <w:lang w:eastAsia="it-IT"/>
              </w:rPr>
              <w:t xml:space="preserve"> a Sigulda, sono considerati gruppi ad alto rischio sociale e quindi hanno accesso a questi servizi gratuitamente. Anche i familiari possono beneficiare delle attività educative offerte da Wings of Hope sugli aspetti medici e sociali dell'assistenza, e possono rivolgersi agli assistenti sociali disponibili per consultazioni, nonché ai gruppi di sostegno per i genitori.</w:t>
            </w:r>
          </w:p>
          <w:p w14:paraId="79161CA2" w14:textId="77777777" w:rsidR="0057704A" w:rsidRDefault="004A66A7">
            <w:pPr>
              <w:pStyle w:val="Standard"/>
              <w:spacing w:after="0" w:line="240" w:lineRule="auto"/>
              <w:jc w:val="both"/>
            </w:pPr>
            <w:r>
              <w:rPr>
                <w:rFonts w:cs="Calibri"/>
                <w:sz w:val="20"/>
                <w:szCs w:val="20"/>
                <w:lang w:eastAsia="it-IT"/>
              </w:rPr>
              <w:t>Nel 2016 l'associazione ha costruito la Casa della speranza (</w:t>
            </w:r>
            <w:proofErr w:type="spellStart"/>
            <w:r>
              <w:rPr>
                <w:rFonts w:cs="Calibri"/>
                <w:sz w:val="20"/>
                <w:szCs w:val="20"/>
                <w:lang w:eastAsia="it-IT"/>
              </w:rPr>
              <w:t>Cerību</w:t>
            </w:r>
            <w:proofErr w:type="spellEnd"/>
            <w:r>
              <w:rPr>
                <w:rFonts w:cs="Calibri"/>
                <w:sz w:val="20"/>
                <w:szCs w:val="20"/>
                <w:lang w:eastAsia="it-IT"/>
              </w:rPr>
              <w:t xml:space="preserve"> </w:t>
            </w:r>
            <w:proofErr w:type="spellStart"/>
            <w:r>
              <w:rPr>
                <w:rFonts w:cs="Calibri"/>
                <w:sz w:val="20"/>
                <w:szCs w:val="20"/>
                <w:lang w:eastAsia="it-IT"/>
              </w:rPr>
              <w:t>māja</w:t>
            </w:r>
            <w:proofErr w:type="spellEnd"/>
            <w:r>
              <w:rPr>
                <w:rFonts w:cs="Calibri"/>
                <w:sz w:val="20"/>
                <w:szCs w:val="20"/>
                <w:lang w:eastAsia="it-IT"/>
              </w:rPr>
              <w:t>), che offre ai genitori di bambini con disabilità l'opportunità di imparare a prendersi cura dei propri figli, sostenendo anche le madri giovani o in attesa che non ricevono alcun sostegno dai loro partner o dalle famiglie. L'associazione ha anche sviluppato la Casa della Speranza (</w:t>
            </w:r>
            <w:proofErr w:type="spellStart"/>
            <w:r>
              <w:rPr>
                <w:rFonts w:cs="Calibri"/>
                <w:sz w:val="20"/>
                <w:szCs w:val="20"/>
                <w:lang w:eastAsia="it-IT"/>
              </w:rPr>
              <w:t>Cerību</w:t>
            </w:r>
            <w:proofErr w:type="spellEnd"/>
            <w:r>
              <w:rPr>
                <w:rFonts w:cs="Calibri"/>
                <w:sz w:val="20"/>
                <w:szCs w:val="20"/>
                <w:lang w:eastAsia="it-IT"/>
              </w:rPr>
              <w:t xml:space="preserve"> </w:t>
            </w:r>
            <w:proofErr w:type="spellStart"/>
            <w:r>
              <w:rPr>
                <w:rFonts w:cs="Calibri"/>
                <w:sz w:val="20"/>
                <w:szCs w:val="20"/>
                <w:lang w:eastAsia="it-IT"/>
              </w:rPr>
              <w:t>sēta</w:t>
            </w:r>
            <w:proofErr w:type="spellEnd"/>
            <w:r>
              <w:rPr>
                <w:rFonts w:cs="Calibri"/>
                <w:sz w:val="20"/>
                <w:szCs w:val="20"/>
                <w:lang w:eastAsia="it-IT"/>
              </w:rPr>
              <w:t>), con il sostegno del FSE, fornendo uno spazio per tutte le persone con disabilità mentali per interagire e abituarsi alle attività della vita quotidiana.</w:t>
            </w:r>
          </w:p>
          <w:p w14:paraId="79161CA3" w14:textId="77777777" w:rsidR="0057704A" w:rsidRDefault="004A66A7">
            <w:pPr>
              <w:pStyle w:val="Standard"/>
              <w:spacing w:after="0" w:line="240" w:lineRule="auto"/>
              <w:jc w:val="both"/>
            </w:pPr>
            <w:r>
              <w:rPr>
                <w:rFonts w:cs="Calibri"/>
                <w:color w:val="00000A"/>
                <w:sz w:val="20"/>
                <w:szCs w:val="20"/>
                <w:lang w:eastAsia="it-IT"/>
              </w:rPr>
              <w:t xml:space="preserve">Wings of Hope gestisce, inoltre, un negozio di beneficenza, chiamato </w:t>
            </w:r>
            <w:proofErr w:type="spellStart"/>
            <w:r>
              <w:rPr>
                <w:rFonts w:cs="Calibri"/>
                <w:color w:val="00000A"/>
                <w:sz w:val="20"/>
                <w:szCs w:val="20"/>
                <w:lang w:eastAsia="it-IT"/>
              </w:rPr>
              <w:t>Everyone</w:t>
            </w:r>
            <w:proofErr w:type="spellEnd"/>
            <w:r>
              <w:rPr>
                <w:rFonts w:cs="Calibri"/>
                <w:color w:val="00000A"/>
                <w:sz w:val="20"/>
                <w:szCs w:val="20"/>
                <w:lang w:eastAsia="it-IT"/>
              </w:rPr>
              <w:t xml:space="preserve"> Can (Visi Var), che impiega persone con disabilità fisiche. Tutti i ricavi delle vendite sono destinati al sostegno e all'impiego di persone con disabilità, oltre che ad altri enti di beneficenza.</w:t>
            </w:r>
          </w:p>
          <w:p w14:paraId="79161CA4"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CA5" w14:textId="77777777" w:rsidR="0057704A" w:rsidRDefault="004A66A7">
            <w:pPr>
              <w:pStyle w:val="Standard"/>
              <w:spacing w:after="0" w:line="240" w:lineRule="auto"/>
              <w:jc w:val="both"/>
            </w:pPr>
            <w:r>
              <w:rPr>
                <w:rFonts w:cs="Calibri"/>
                <w:sz w:val="20"/>
                <w:szCs w:val="20"/>
                <w:lang w:eastAsia="it-IT"/>
              </w:rPr>
              <w:t xml:space="preserve">Nel 2016, Wings of Hope ha fornito servizi a 54 famiglie bisognose e ha superato i confini di Sigulda, raggiungendo persone in quattro città vicine. Quattro giovani con disabilità sono stati integrati con successo nel mercato del lavoro aperto dopo aver lavorato per Wings of Hope. Si prevede che il negozio di beneficenza sarà in grado di fornire lavoro retribuito a persone con disabilità nei prossimi </w:t>
            </w:r>
            <w:proofErr w:type="gramStart"/>
            <w:r>
              <w:rPr>
                <w:rFonts w:cs="Calibri"/>
                <w:sz w:val="20"/>
                <w:szCs w:val="20"/>
                <w:lang w:eastAsia="it-IT"/>
              </w:rPr>
              <w:t>10</w:t>
            </w:r>
            <w:proofErr w:type="gramEnd"/>
            <w:r>
              <w:rPr>
                <w:rFonts w:cs="Calibri"/>
                <w:sz w:val="20"/>
                <w:szCs w:val="20"/>
                <w:lang w:eastAsia="it-IT"/>
              </w:rPr>
              <w:t xml:space="preserve"> anni. I servizi sociali forniti dall'associazione Wings of Hope sono stati particolarmente utili ai genitori e ai familiari dei bambini disabili, il 97% dei quali ora lavora nel mercato del lavoro regolare e percepisce un salario in grado di sostenere le proprie famiglie.</w:t>
            </w:r>
          </w:p>
          <w:p w14:paraId="79161CA6" w14:textId="77777777" w:rsidR="0057704A" w:rsidRDefault="004A66A7">
            <w:pPr>
              <w:pStyle w:val="Standard"/>
              <w:spacing w:after="0" w:line="240" w:lineRule="auto"/>
              <w:jc w:val="both"/>
            </w:pPr>
            <w:r>
              <w:rPr>
                <w:rFonts w:cs="Calibri"/>
                <w:color w:val="00000A"/>
                <w:sz w:val="20"/>
                <w:szCs w:val="20"/>
                <w:lang w:eastAsia="it-IT"/>
              </w:rPr>
              <w:t>La presenza dell'associazione a Sigulda ha anche contribuito alla riduzione dei pregiudizi e degli atteggiamenti discriminatori nei confronti delle persone con disabilità fisiche, oltre che a un aumento della tolleranza. Wings of Hope ha aiutato le persone con disabilità a interagire socialmente all'interno della comunità e ha dato loro l'opportunità di essere parte della società, impiegandole e aiutandole a sviluppare le proprie capacità.</w:t>
            </w:r>
          </w:p>
          <w:p w14:paraId="79161CA7"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CA8" w14:textId="77777777" w:rsidR="0057704A" w:rsidRDefault="004A66A7">
            <w:pPr>
              <w:pStyle w:val="Standard"/>
              <w:spacing w:after="0" w:line="240" w:lineRule="auto"/>
              <w:jc w:val="both"/>
            </w:pPr>
            <w:r>
              <w:rPr>
                <w:rFonts w:cs="Calibri"/>
                <w:color w:val="00000A"/>
                <w:sz w:val="20"/>
                <w:szCs w:val="20"/>
                <w:lang w:eastAsia="it-IT"/>
              </w:rPr>
              <w:t>Wings of Hope ha un accordo di cooperazione di lunga durata con il governo locale, sia a livello informativo che finanziario. Riceve il 45% del suo budget dal governo locale, mentre il restante 55% è costituito dalle entrate del negozio e dalle donazioni.</w:t>
            </w:r>
          </w:p>
          <w:p w14:paraId="79161CA9" w14:textId="77777777" w:rsidR="0057704A" w:rsidRDefault="004A66A7">
            <w:pPr>
              <w:pStyle w:val="Standard"/>
              <w:spacing w:after="0" w:line="240" w:lineRule="auto"/>
              <w:jc w:val="both"/>
            </w:pPr>
            <w:r>
              <w:rPr>
                <w:rFonts w:cs="Calibri"/>
                <w:color w:val="00000A"/>
                <w:sz w:val="20"/>
                <w:szCs w:val="20"/>
                <w:lang w:eastAsia="it-IT"/>
              </w:rPr>
              <w:t>Wings of Hope è diventata un'iniziativa sostenibile e mostra un forte potenziale per essere integrata e trasferita in un altro contesto. Il trasferimento in un altro contesto richiederebbe condizioni simili, in termini di fonti di finanziamento diversificate e di forti reti comunitarie locali.</w:t>
            </w:r>
          </w:p>
        </w:tc>
      </w:tr>
    </w:tbl>
    <w:p w14:paraId="573553B4" w14:textId="77777777" w:rsidR="00EC7110" w:rsidRDefault="00EC7110">
      <w:r>
        <w:br w:type="page"/>
      </w:r>
    </w:p>
    <w:tbl>
      <w:tblPr>
        <w:tblW w:w="9615" w:type="dxa"/>
        <w:tblInd w:w="-123" w:type="dxa"/>
        <w:tblLayout w:type="fixed"/>
        <w:tblCellMar>
          <w:left w:w="10" w:type="dxa"/>
          <w:right w:w="10" w:type="dxa"/>
        </w:tblCellMar>
        <w:tblLook w:val="04A0" w:firstRow="1" w:lastRow="0" w:firstColumn="1" w:lastColumn="0" w:noHBand="0" w:noVBand="1"/>
      </w:tblPr>
      <w:tblGrid>
        <w:gridCol w:w="9615"/>
      </w:tblGrid>
      <w:tr w:rsidR="0057704A" w14:paraId="79161CAC"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D966"/>
            <w:tcMar>
              <w:top w:w="0" w:type="dxa"/>
              <w:left w:w="108" w:type="dxa"/>
              <w:bottom w:w="0" w:type="dxa"/>
              <w:right w:w="108" w:type="dxa"/>
            </w:tcMar>
          </w:tcPr>
          <w:p w14:paraId="79161CAB" w14:textId="45FEB367" w:rsidR="0057704A" w:rsidRDefault="004A66A7">
            <w:pPr>
              <w:pStyle w:val="Standard"/>
              <w:spacing w:after="0" w:line="240" w:lineRule="auto"/>
              <w:jc w:val="center"/>
            </w:pPr>
            <w:r>
              <w:rPr>
                <w:rFonts w:cs="Calibri"/>
                <w:b/>
                <w:bCs/>
                <w:color w:val="00000A"/>
                <w:sz w:val="20"/>
                <w:szCs w:val="20"/>
                <w:lang w:eastAsia="it-IT"/>
              </w:rPr>
              <w:lastRenderedPageBreak/>
              <w:t>3.2 Inclusione socio lavorativa per i migranti/Integrazione di cittadini di paesi terzi</w:t>
            </w:r>
          </w:p>
        </w:tc>
      </w:tr>
      <w:tr w:rsidR="0057704A" w14:paraId="79161CB0" w14:textId="77777777" w:rsidTr="00EC7110">
        <w:tc>
          <w:tcPr>
            <w:tcW w:w="9615" w:type="dxa"/>
            <w:tcBorders>
              <w:top w:val="single" w:sz="18" w:space="0" w:color="5B9BD5"/>
              <w:left w:val="single" w:sz="18" w:space="0" w:color="5B9BD5"/>
              <w:bottom w:val="single" w:sz="18" w:space="0" w:color="5B9BD5"/>
              <w:right w:val="single" w:sz="18" w:space="0" w:color="5B9BD5"/>
            </w:tcBorders>
            <w:shd w:val="clear" w:color="auto" w:fill="FFD966"/>
            <w:tcMar>
              <w:top w:w="0" w:type="dxa"/>
              <w:left w:w="108" w:type="dxa"/>
              <w:bottom w:w="0" w:type="dxa"/>
              <w:right w:w="108" w:type="dxa"/>
            </w:tcMar>
          </w:tcPr>
          <w:p w14:paraId="79161CAD" w14:textId="77777777" w:rsidR="0057704A" w:rsidRDefault="004A66A7">
            <w:pPr>
              <w:pStyle w:val="Standard"/>
              <w:spacing w:after="0" w:line="240" w:lineRule="auto"/>
              <w:jc w:val="center"/>
            </w:pPr>
            <w:r>
              <w:rPr>
                <w:rFonts w:cs="Calibri"/>
                <w:b/>
                <w:bCs/>
                <w:color w:val="000000"/>
                <w:sz w:val="20"/>
                <w:szCs w:val="20"/>
                <w:lang w:eastAsia="it-IT"/>
              </w:rPr>
              <w:t>GERMANIA</w:t>
            </w:r>
          </w:p>
          <w:p w14:paraId="79161CAE" w14:textId="77777777" w:rsidR="0057704A" w:rsidRDefault="004A66A7">
            <w:pPr>
              <w:pStyle w:val="Standard"/>
              <w:spacing w:after="0" w:line="240" w:lineRule="auto"/>
              <w:jc w:val="center"/>
            </w:pPr>
            <w:r>
              <w:rPr>
                <w:rFonts w:cs="Calibri"/>
                <w:b/>
                <w:bCs/>
                <w:color w:val="000000"/>
                <w:sz w:val="20"/>
                <w:szCs w:val="20"/>
                <w:lang w:eastAsia="it-IT"/>
              </w:rPr>
              <w:t>Piano d'azione locale di Brema ZZZ</w:t>
            </w:r>
          </w:p>
          <w:p w14:paraId="79161CAF" w14:textId="77777777" w:rsidR="0057704A" w:rsidRDefault="004A66A7">
            <w:pPr>
              <w:pStyle w:val="Standard"/>
              <w:spacing w:after="0" w:line="240" w:lineRule="auto"/>
              <w:jc w:val="center"/>
            </w:pPr>
            <w:r>
              <w:rPr>
                <w:rFonts w:cs="Calibri"/>
                <w:b/>
                <w:bCs/>
                <w:i/>
                <w:iCs/>
                <w:color w:val="000000"/>
                <w:sz w:val="20"/>
                <w:szCs w:val="20"/>
                <w:lang w:eastAsia="it-IT"/>
              </w:rPr>
              <w:t>Integrare migranti e rifugiati attraverso l'uso temporaneo di spazi abbandonati</w:t>
            </w:r>
          </w:p>
        </w:tc>
      </w:tr>
      <w:tr w:rsidR="0057704A" w14:paraId="79161CB5" w14:textId="77777777" w:rsidTr="00EC7110">
        <w:tc>
          <w:tcPr>
            <w:tcW w:w="9615" w:type="dxa"/>
            <w:tcBorders>
              <w:top w:val="single" w:sz="18" w:space="0" w:color="5B9BD5"/>
              <w:left w:val="single" w:sz="18" w:space="0" w:color="5B9BD5"/>
              <w:bottom w:val="single" w:sz="12" w:space="0" w:color="767171"/>
              <w:right w:val="single" w:sz="18" w:space="0" w:color="5B9BD5"/>
            </w:tcBorders>
            <w:shd w:val="clear" w:color="auto" w:fill="FFFFFF"/>
            <w:tcMar>
              <w:top w:w="0" w:type="dxa"/>
              <w:left w:w="108" w:type="dxa"/>
              <w:bottom w:w="0" w:type="dxa"/>
              <w:right w:w="108" w:type="dxa"/>
            </w:tcMar>
          </w:tcPr>
          <w:p w14:paraId="79161CB1" w14:textId="219A6718" w:rsidR="0057704A" w:rsidRPr="0001080D" w:rsidRDefault="004A66A7">
            <w:pPr>
              <w:pStyle w:val="Standard"/>
              <w:spacing w:after="0" w:line="240" w:lineRule="auto"/>
              <w:jc w:val="both"/>
              <w:rPr>
                <w:rFonts w:cs="Calibri"/>
              </w:rPr>
            </w:pPr>
            <w:r w:rsidRPr="0001080D">
              <w:rPr>
                <w:rFonts w:cs="Calibri"/>
                <w:color w:val="5B9BD5"/>
                <w:sz w:val="20"/>
                <w:szCs w:val="20"/>
                <w:lang w:eastAsia="it-IT"/>
              </w:rPr>
              <w:t xml:space="preserve">Problemi affrontati. </w:t>
            </w:r>
            <w:r w:rsidRPr="0001080D">
              <w:rPr>
                <w:rFonts w:cs="Calibri"/>
                <w:sz w:val="20"/>
                <w:szCs w:val="20"/>
                <w:lang w:eastAsia="it-IT"/>
              </w:rPr>
              <w:t>N</w:t>
            </w:r>
            <w:r w:rsidRPr="0001080D">
              <w:rPr>
                <w:rFonts w:cs="Calibri"/>
                <w:color w:val="00000A"/>
                <w:sz w:val="20"/>
                <w:szCs w:val="20"/>
                <w:lang w:eastAsia="it-IT"/>
              </w:rPr>
              <w:t xml:space="preserve">umero crescente di rifugiati pari al 2% della popolazione totale </w:t>
            </w:r>
            <w:r w:rsidR="0001080D" w:rsidRPr="0001080D">
              <w:rPr>
                <w:rFonts w:cs="Calibri"/>
                <w:color w:val="00000A"/>
                <w:sz w:val="20"/>
                <w:szCs w:val="20"/>
                <w:lang w:eastAsia="it-IT"/>
              </w:rPr>
              <w:t>che ha</w:t>
            </w:r>
            <w:r w:rsidRPr="0001080D">
              <w:rPr>
                <w:rFonts w:cs="Calibri"/>
                <w:color w:val="00000A"/>
                <w:sz w:val="20"/>
                <w:szCs w:val="20"/>
                <w:lang w:eastAsia="it-IT"/>
              </w:rPr>
              <w:t xml:space="preserve"> determinato una crescente pressione sui fornitori di servizi in una città già alle prese con alti livelli di esclusione sociale, disoccupazione e povertà. A causa in parte della transizione di Brema da un'economia prevalentemente industriale a un'economia di servizi, gli spazi e gli edifici abbandonati o trascurati sono particolarmente comuni.</w:t>
            </w:r>
          </w:p>
          <w:p w14:paraId="79161CB2" w14:textId="00E4EF79" w:rsidR="0057704A" w:rsidRPr="0001080D" w:rsidRDefault="004A66A7">
            <w:pPr>
              <w:pStyle w:val="Standard"/>
              <w:spacing w:after="0" w:line="240" w:lineRule="auto"/>
              <w:jc w:val="both"/>
              <w:rPr>
                <w:rFonts w:cs="Calibri"/>
              </w:rPr>
            </w:pPr>
            <w:r w:rsidRPr="0001080D">
              <w:rPr>
                <w:rFonts w:cs="Calibri"/>
                <w:color w:val="5B9BD5"/>
                <w:sz w:val="20"/>
                <w:szCs w:val="20"/>
                <w:lang w:eastAsia="it-IT"/>
              </w:rPr>
              <w:t xml:space="preserve">Soluzioni Innovative. </w:t>
            </w:r>
            <w:r w:rsidRPr="0001080D">
              <w:rPr>
                <w:rFonts w:cs="Calibri"/>
                <w:sz w:val="20"/>
                <w:szCs w:val="20"/>
                <w:lang w:eastAsia="it-IT"/>
              </w:rPr>
              <w:t>Il Piano d'azione locale per il 2016-2020 sviluppato dall'Agenzia ZZZ (</w:t>
            </w:r>
            <w:proofErr w:type="spellStart"/>
            <w:r w:rsidRPr="0001080D">
              <w:rPr>
                <w:rFonts w:cs="Calibri"/>
                <w:sz w:val="20"/>
                <w:szCs w:val="20"/>
                <w:lang w:eastAsia="it-IT"/>
              </w:rPr>
              <w:t>ZwischenZeitZentrale</w:t>
            </w:r>
            <w:proofErr w:type="spellEnd"/>
            <w:r w:rsidRPr="0001080D">
              <w:rPr>
                <w:rFonts w:cs="Calibri"/>
                <w:sz w:val="20"/>
                <w:szCs w:val="20"/>
                <w:lang w:eastAsia="it-IT"/>
              </w:rPr>
              <w:t xml:space="preserve">) promuove lo sviluppo urbano, sostenendo i gruppi svantaggiati fornendo loro alloggi e opportunità di lavoro. Dal 2009, l'Agenzia ZZZ ha riportato in vita, ad uso temporaneo, edifici e spazi abbandonati in quartieri disagiati; affitta spazi liberi e li mette a disposizione degli innovatori sociali locali e dei dipartimenti comunali come spazio per svolgere attività a beneficio dell'intera comunità. Questi ultimi, a loro volta, devono fornire alloggio e lavoro ai rifugiati. I progetti possono progredire in modo indipendente e autonomo, offrendo ai rifugiati un'esperienza lavorativa o un sostegno sociale e ravvivando varie parti della città. Con l'aiuto del Gruppo Locale </w:t>
            </w:r>
            <w:r w:rsidR="0001080D" w:rsidRPr="0001080D">
              <w:rPr>
                <w:rFonts w:cs="Calibri"/>
                <w:sz w:val="20"/>
                <w:szCs w:val="20"/>
                <w:lang w:eastAsia="it-IT"/>
              </w:rPr>
              <w:t>URBACT,</w:t>
            </w:r>
            <w:r w:rsidRPr="0001080D">
              <w:rPr>
                <w:rFonts w:cs="Calibri"/>
                <w:sz w:val="20"/>
                <w:szCs w:val="20"/>
                <w:lang w:eastAsia="it-IT"/>
              </w:rPr>
              <w:t xml:space="preserve"> l'Agenzia ZZZ ha anche sviluppato un'iniziativa pilota Urban Lab, specificamente orientata all'integrazione dei nuovi arrivati, come i rifugiati, attraverso iniziative ad hoc. È un "</w:t>
            </w:r>
            <w:r w:rsidRPr="0001080D">
              <w:rPr>
                <w:rFonts w:cs="Calibri"/>
                <w:i/>
                <w:iCs/>
                <w:sz w:val="20"/>
                <w:szCs w:val="20"/>
                <w:lang w:eastAsia="it-IT"/>
              </w:rPr>
              <w:t>do-lab</w:t>
            </w:r>
            <w:r w:rsidRPr="0001080D">
              <w:rPr>
                <w:rFonts w:cs="Calibri"/>
                <w:sz w:val="20"/>
                <w:szCs w:val="20"/>
                <w:lang w:eastAsia="it-IT"/>
              </w:rPr>
              <w:t>": consente un processo decisionale collaborativo e promuove un ecosistema di sviluppo delle capacità nel quartiere, contribuendo a sviluppare relazioni tra le principali parti interessate come le istituzioni sociali e culturali e le comunità locali. L'Agenzia ZZZ ha organizzato vari workshop tra i membri del Gruppo Locale URBACT, per testare il progetto pilota e identificare le parti interessate a prenderne parte.</w:t>
            </w:r>
          </w:p>
          <w:p w14:paraId="79161CB3" w14:textId="410B17EF" w:rsidR="0057704A" w:rsidRPr="0001080D" w:rsidRDefault="004A66A7">
            <w:pPr>
              <w:pStyle w:val="Standard"/>
              <w:spacing w:after="0" w:line="240" w:lineRule="auto"/>
              <w:jc w:val="both"/>
              <w:rPr>
                <w:rFonts w:cs="Calibri"/>
              </w:rPr>
            </w:pPr>
            <w:r w:rsidRPr="0001080D">
              <w:rPr>
                <w:rFonts w:cs="Calibri"/>
                <w:color w:val="5B9BD5"/>
                <w:sz w:val="20"/>
                <w:szCs w:val="20"/>
                <w:lang w:eastAsia="it-IT"/>
              </w:rPr>
              <w:t xml:space="preserve">Principali risultati e benefici. </w:t>
            </w:r>
            <w:r w:rsidRPr="0001080D">
              <w:rPr>
                <w:rFonts w:cs="Calibri"/>
                <w:sz w:val="20"/>
                <w:szCs w:val="20"/>
                <w:lang w:eastAsia="it-IT"/>
              </w:rPr>
              <w:t xml:space="preserve">Uno dei principali risultati del Piano d'azione locale sono le reti sviluppate con i servizi sociali locali e le comunità culturali. Con il sostegno del Piano d'Azione Locale, il progetto 'Wurst Case', in un ex salumificio, ha ad esempio fornito </w:t>
            </w:r>
            <w:proofErr w:type="gramStart"/>
            <w:r w:rsidRPr="0001080D">
              <w:rPr>
                <w:rFonts w:cs="Calibri"/>
                <w:sz w:val="20"/>
                <w:szCs w:val="20"/>
                <w:lang w:eastAsia="it-IT"/>
              </w:rPr>
              <w:t>la location</w:t>
            </w:r>
            <w:proofErr w:type="gramEnd"/>
            <w:r w:rsidRPr="0001080D">
              <w:rPr>
                <w:rFonts w:cs="Calibri"/>
                <w:sz w:val="20"/>
                <w:szCs w:val="20"/>
                <w:lang w:eastAsia="it-IT"/>
              </w:rPr>
              <w:t xml:space="preserve"> per diversi progetti di migranti e </w:t>
            </w:r>
            <w:r w:rsidR="0001080D" w:rsidRPr="0001080D">
              <w:rPr>
                <w:rFonts w:cs="Calibri"/>
                <w:sz w:val="20"/>
                <w:szCs w:val="20"/>
                <w:lang w:eastAsia="it-IT"/>
              </w:rPr>
              <w:t>rifugiati:</w:t>
            </w:r>
            <w:r w:rsidRPr="0001080D">
              <w:rPr>
                <w:rFonts w:cs="Calibri"/>
                <w:sz w:val="20"/>
                <w:szCs w:val="20"/>
                <w:lang w:eastAsia="it-IT"/>
              </w:rPr>
              <w:t xml:space="preserve"> negozio di biciclette auto-riparante per rifugiati, corsi di lingua tedesca per rifugiati forniti da membri dell'associazione tedesco-gambiana e l'ufficio della rete Brema-Africa. Altre iniziative sono state sostenute con consigli sulla ricerca di spazi, come il 'Women creative lab' </w:t>
            </w:r>
            <w:proofErr w:type="gramStart"/>
            <w:r w:rsidRPr="0001080D">
              <w:rPr>
                <w:rFonts w:cs="Calibri"/>
                <w:sz w:val="20"/>
                <w:szCs w:val="20"/>
                <w:lang w:eastAsia="it-IT"/>
              </w:rPr>
              <w:t xml:space="preserve">( </w:t>
            </w:r>
            <w:proofErr w:type="spellStart"/>
            <w:r w:rsidRPr="0001080D">
              <w:rPr>
                <w:rFonts w:cs="Calibri"/>
                <w:sz w:val="20"/>
                <w:szCs w:val="20"/>
                <w:lang w:eastAsia="it-IT"/>
              </w:rPr>
              <w:t>Frauen</w:t>
            </w:r>
            <w:proofErr w:type="spellEnd"/>
            <w:proofErr w:type="gramEnd"/>
            <w:r w:rsidRPr="0001080D">
              <w:rPr>
                <w:rFonts w:cs="Calibri"/>
                <w:sz w:val="20"/>
                <w:szCs w:val="20"/>
                <w:lang w:eastAsia="it-IT"/>
              </w:rPr>
              <w:t xml:space="preserve"> </w:t>
            </w:r>
            <w:proofErr w:type="spellStart"/>
            <w:r w:rsidRPr="0001080D">
              <w:rPr>
                <w:rFonts w:cs="Calibri"/>
                <w:sz w:val="20"/>
                <w:szCs w:val="20"/>
                <w:lang w:eastAsia="it-IT"/>
              </w:rPr>
              <w:t>Kreativ</w:t>
            </w:r>
            <w:proofErr w:type="spellEnd"/>
            <w:r w:rsidRPr="0001080D">
              <w:rPr>
                <w:rFonts w:cs="Calibri"/>
                <w:sz w:val="20"/>
                <w:szCs w:val="20"/>
                <w:lang w:eastAsia="it-IT"/>
              </w:rPr>
              <w:t xml:space="preserve"> </w:t>
            </w:r>
            <w:proofErr w:type="spellStart"/>
            <w:r w:rsidRPr="0001080D">
              <w:rPr>
                <w:rFonts w:cs="Calibri"/>
                <w:sz w:val="20"/>
                <w:szCs w:val="20"/>
                <w:lang w:eastAsia="it-IT"/>
              </w:rPr>
              <w:t>Labor</w:t>
            </w:r>
            <w:proofErr w:type="spellEnd"/>
            <w:r w:rsidRPr="0001080D">
              <w:rPr>
                <w:rFonts w:cs="Calibri"/>
                <w:sz w:val="20"/>
                <w:szCs w:val="20"/>
                <w:lang w:eastAsia="it-IT"/>
              </w:rPr>
              <w:t>) progetto finanziato dal Fondo sociale europeo (FSE) che consente alle donne migranti di lavorare nel settore tessile e in altri mestieri mentre i loro figli sono presi in cura. Il progetto è gestito da un partner del Gruppo Locale URBACT e l'Agenzia ZZZ ha concesso l'uso temporaneo di uno spazio libero. Un progetto simile denominato '</w:t>
            </w:r>
            <w:proofErr w:type="spellStart"/>
            <w:r w:rsidRPr="0001080D">
              <w:rPr>
                <w:rFonts w:cs="Calibri"/>
                <w:sz w:val="20"/>
                <w:szCs w:val="20"/>
                <w:lang w:eastAsia="it-IT"/>
              </w:rPr>
              <w:t>Furniture</w:t>
            </w:r>
            <w:proofErr w:type="spellEnd"/>
            <w:r w:rsidRPr="0001080D">
              <w:rPr>
                <w:rFonts w:cs="Calibri"/>
                <w:sz w:val="20"/>
                <w:szCs w:val="20"/>
                <w:lang w:eastAsia="it-IT"/>
              </w:rPr>
              <w:t xml:space="preserve"> Design Studio </w:t>
            </w:r>
            <w:proofErr w:type="spellStart"/>
            <w:r w:rsidRPr="0001080D">
              <w:rPr>
                <w:rFonts w:cs="Calibri"/>
                <w:sz w:val="20"/>
                <w:szCs w:val="20"/>
                <w:lang w:eastAsia="it-IT"/>
              </w:rPr>
              <w:t>WeserHolz</w:t>
            </w:r>
            <w:proofErr w:type="spellEnd"/>
            <w:r w:rsidRPr="0001080D">
              <w:rPr>
                <w:rFonts w:cs="Calibri"/>
                <w:sz w:val="20"/>
                <w:szCs w:val="20"/>
                <w:lang w:eastAsia="it-IT"/>
              </w:rPr>
              <w:t>', implementato dalla rete del gruppo locale, sostiene i giovani migranti attraverso laboratori di progettazione e lavorazione del legno fino a all’avvio di una regolare formazione professionale e include anche lezioni di lingua tedesca.</w:t>
            </w:r>
          </w:p>
          <w:p w14:paraId="79161CB4" w14:textId="76DB9DC5" w:rsidR="0057704A" w:rsidRPr="0001080D" w:rsidRDefault="004A66A7">
            <w:pPr>
              <w:pStyle w:val="Standard"/>
              <w:spacing w:after="0" w:line="240" w:lineRule="auto"/>
              <w:jc w:val="both"/>
              <w:rPr>
                <w:rFonts w:cs="Calibri"/>
              </w:rPr>
            </w:pPr>
            <w:r w:rsidRPr="0001080D">
              <w:rPr>
                <w:rFonts w:cs="Calibri"/>
                <w:color w:val="5B9BD5"/>
                <w:sz w:val="20"/>
                <w:szCs w:val="20"/>
                <w:lang w:eastAsia="it-IT"/>
              </w:rPr>
              <w:t xml:space="preserve">Potenziale di mainstreaming/scaling up. </w:t>
            </w:r>
            <w:r w:rsidRPr="0001080D">
              <w:rPr>
                <w:rFonts w:cs="Calibri"/>
                <w:sz w:val="20"/>
                <w:szCs w:val="20"/>
                <w:lang w:eastAsia="it-IT"/>
              </w:rPr>
              <w:t xml:space="preserve">La modalità dell'utilizzo temporaneo è diventato un aspetto rilevante del cambiamento sociale e della rivitalizzazione del quartiere a Brema, e il governo di Brema ha riconosciuto i vantaggi di questo nuovo approccio dal basso. Attraverso vari progetti internazionali, come la rete TUTUR finanziata da URBACT (2013-2015), il metodo </w:t>
            </w:r>
            <w:r w:rsidRPr="0001080D">
              <w:rPr>
                <w:rFonts w:cs="Calibri"/>
                <w:i/>
                <w:iCs/>
                <w:sz w:val="20"/>
                <w:szCs w:val="20"/>
                <w:lang w:eastAsia="it-IT"/>
              </w:rPr>
              <w:t xml:space="preserve">dell'uso temporaneo per la rigenerazione urbana </w:t>
            </w:r>
            <w:r w:rsidRPr="0001080D">
              <w:rPr>
                <w:rFonts w:cs="Calibri"/>
                <w:sz w:val="20"/>
                <w:szCs w:val="20"/>
                <w:lang w:eastAsia="it-IT"/>
              </w:rPr>
              <w:t xml:space="preserve">è stato diffuso in diverse città in tutta Europa, tra cui Roma (Italia) e Alba Iulia (Romania), mostrando una forte possibilità di </w:t>
            </w:r>
            <w:r w:rsidR="00342190" w:rsidRPr="0001080D">
              <w:rPr>
                <w:rFonts w:cs="Calibri"/>
                <w:sz w:val="20"/>
                <w:szCs w:val="20"/>
                <w:lang w:eastAsia="it-IT"/>
              </w:rPr>
              <w:t>trasferibilità. I</w:t>
            </w:r>
            <w:r w:rsidRPr="0001080D">
              <w:rPr>
                <w:rFonts w:cs="Calibri"/>
                <w:sz w:val="20"/>
                <w:szCs w:val="20"/>
                <w:lang w:eastAsia="it-IT"/>
              </w:rPr>
              <w:t xml:space="preserve"> partner del Gruppo Locale URBACT sono coinvolti nello sviluppo di un modello economicamente vantaggioso per l'integrazione dei rifugiati che potrebbe essere trasferito in altri contesti</w:t>
            </w:r>
            <w:r w:rsidR="00FD4D7E">
              <w:rPr>
                <w:rFonts w:cs="Calibri"/>
                <w:sz w:val="20"/>
                <w:szCs w:val="20"/>
                <w:lang w:eastAsia="it-IT"/>
              </w:rPr>
              <w:t xml:space="preserve">. </w:t>
            </w:r>
          </w:p>
        </w:tc>
      </w:tr>
      <w:tr w:rsidR="0057704A" w14:paraId="79161CB8" w14:textId="77777777" w:rsidTr="00EC7110">
        <w:tc>
          <w:tcPr>
            <w:tcW w:w="9615" w:type="dxa"/>
            <w:tcBorders>
              <w:top w:val="single" w:sz="12" w:space="0" w:color="767171"/>
              <w:left w:val="single" w:sz="18" w:space="0" w:color="5B9BD5"/>
              <w:bottom w:val="single" w:sz="18" w:space="0" w:color="5B9BD5"/>
              <w:right w:val="single" w:sz="18" w:space="0" w:color="5B9BD5"/>
            </w:tcBorders>
            <w:shd w:val="clear" w:color="auto" w:fill="FFD966"/>
            <w:tcMar>
              <w:top w:w="0" w:type="dxa"/>
              <w:left w:w="108" w:type="dxa"/>
              <w:bottom w:w="0" w:type="dxa"/>
              <w:right w:w="108" w:type="dxa"/>
            </w:tcMar>
          </w:tcPr>
          <w:p w14:paraId="79161CB6" w14:textId="77777777" w:rsidR="0057704A" w:rsidRDefault="004A66A7">
            <w:pPr>
              <w:pStyle w:val="Standard"/>
              <w:spacing w:after="0" w:line="240" w:lineRule="auto"/>
              <w:jc w:val="center"/>
            </w:pPr>
            <w:r>
              <w:rPr>
                <w:rFonts w:cs="Calibri"/>
                <w:b/>
                <w:bCs/>
                <w:color w:val="000000"/>
                <w:sz w:val="20"/>
                <w:szCs w:val="20"/>
                <w:lang w:eastAsia="it-IT"/>
              </w:rPr>
              <w:t>PAESI BASSI</w:t>
            </w:r>
          </w:p>
          <w:p w14:paraId="79161CB7" w14:textId="77777777" w:rsidR="0057704A" w:rsidRDefault="004A66A7">
            <w:pPr>
              <w:pStyle w:val="Standard"/>
              <w:spacing w:after="0" w:line="240" w:lineRule="auto"/>
              <w:jc w:val="center"/>
            </w:pPr>
            <w:r>
              <w:rPr>
                <w:rFonts w:cs="Calibri"/>
                <w:b/>
                <w:bCs/>
                <w:color w:val="000000"/>
                <w:sz w:val="20"/>
                <w:szCs w:val="20"/>
                <w:lang w:eastAsia="it-IT"/>
              </w:rPr>
              <w:t xml:space="preserve">WOOW </w:t>
            </w:r>
            <w:r>
              <w:rPr>
                <w:rFonts w:cs="Calibri"/>
                <w:color w:val="000000"/>
                <w:sz w:val="20"/>
                <w:szCs w:val="20"/>
                <w:lang w:eastAsia="it-IT"/>
              </w:rPr>
              <w:t xml:space="preserve">Vivere, Educare, Imprenditorialità e </w:t>
            </w:r>
            <w:proofErr w:type="spellStart"/>
            <w:r>
              <w:rPr>
                <w:rFonts w:cs="Calibri"/>
                <w:color w:val="000000"/>
                <w:sz w:val="20"/>
                <w:szCs w:val="20"/>
                <w:lang w:eastAsia="it-IT"/>
              </w:rPr>
              <w:t>Lavoro'</w:t>
            </w:r>
            <w:proofErr w:type="spellEnd"/>
            <w:r>
              <w:rPr>
                <w:rFonts w:cs="Calibri"/>
                <w:color w:val="000000"/>
                <w:sz w:val="20"/>
                <w:szCs w:val="20"/>
                <w:lang w:eastAsia="it-IT"/>
              </w:rPr>
              <w:t xml:space="preserve"> (</w:t>
            </w:r>
            <w:proofErr w:type="spellStart"/>
            <w:r>
              <w:rPr>
                <w:rFonts w:cs="Calibri"/>
                <w:color w:val="000000"/>
                <w:sz w:val="20"/>
                <w:szCs w:val="20"/>
                <w:lang w:eastAsia="it-IT"/>
              </w:rPr>
              <w:t>Wonen</w:t>
            </w:r>
            <w:proofErr w:type="spellEnd"/>
            <w:r>
              <w:rPr>
                <w:rFonts w:cs="Calibri"/>
                <w:color w:val="000000"/>
                <w:sz w:val="20"/>
                <w:szCs w:val="20"/>
                <w:lang w:eastAsia="it-IT"/>
              </w:rPr>
              <w:t xml:space="preserve">, </w:t>
            </w:r>
            <w:proofErr w:type="spellStart"/>
            <w:r>
              <w:rPr>
                <w:rFonts w:cs="Calibri"/>
                <w:color w:val="000000"/>
                <w:sz w:val="20"/>
                <w:szCs w:val="20"/>
                <w:lang w:eastAsia="it-IT"/>
              </w:rPr>
              <w:t>Opleiden</w:t>
            </w:r>
            <w:proofErr w:type="spellEnd"/>
            <w:r>
              <w:rPr>
                <w:rFonts w:cs="Calibri"/>
                <w:color w:val="000000"/>
                <w:sz w:val="20"/>
                <w:szCs w:val="20"/>
                <w:lang w:eastAsia="it-IT"/>
              </w:rPr>
              <w:t xml:space="preserve">, </w:t>
            </w:r>
            <w:proofErr w:type="spellStart"/>
            <w:r>
              <w:rPr>
                <w:rFonts w:cs="Calibri"/>
                <w:color w:val="000000"/>
                <w:sz w:val="20"/>
                <w:szCs w:val="20"/>
                <w:lang w:eastAsia="it-IT"/>
              </w:rPr>
              <w:t>Ondernemen</w:t>
            </w:r>
            <w:proofErr w:type="spellEnd"/>
            <w:r>
              <w:rPr>
                <w:rFonts w:cs="Calibri"/>
                <w:color w:val="000000"/>
                <w:sz w:val="20"/>
                <w:szCs w:val="20"/>
                <w:lang w:eastAsia="it-IT"/>
              </w:rPr>
              <w:t xml:space="preserve"> en </w:t>
            </w:r>
            <w:proofErr w:type="spellStart"/>
            <w:r>
              <w:rPr>
                <w:rFonts w:cs="Calibri"/>
                <w:color w:val="000000"/>
                <w:sz w:val="20"/>
                <w:szCs w:val="20"/>
                <w:lang w:eastAsia="it-IT"/>
              </w:rPr>
              <w:t>Werken</w:t>
            </w:r>
            <w:proofErr w:type="spellEnd"/>
            <w:r>
              <w:rPr>
                <w:rFonts w:cs="Calibri"/>
                <w:b/>
                <w:bCs/>
                <w:color w:val="000000"/>
                <w:sz w:val="20"/>
                <w:szCs w:val="20"/>
                <w:lang w:eastAsia="it-IT"/>
              </w:rPr>
              <w:t>)</w:t>
            </w:r>
          </w:p>
        </w:tc>
      </w:tr>
      <w:tr w:rsidR="0057704A" w14:paraId="79161CBD" w14:textId="77777777" w:rsidTr="00EC7110">
        <w:tc>
          <w:tcPr>
            <w:tcW w:w="9615" w:type="dxa"/>
            <w:tcBorders>
              <w:top w:val="single" w:sz="12" w:space="0" w:color="767171"/>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79161CB9" w14:textId="77777777" w:rsidR="0057704A" w:rsidRPr="00AD0276" w:rsidRDefault="004A66A7">
            <w:pPr>
              <w:pStyle w:val="Standard"/>
              <w:spacing w:after="0" w:line="240" w:lineRule="auto"/>
              <w:jc w:val="both"/>
              <w:rPr>
                <w:rFonts w:cs="Calibri"/>
              </w:rPr>
            </w:pPr>
            <w:bookmarkStart w:id="20" w:name="_Toc130814739"/>
            <w:r w:rsidRPr="00AD0276">
              <w:rPr>
                <w:rFonts w:cs="Calibri"/>
                <w:color w:val="5B9BD5"/>
                <w:sz w:val="20"/>
                <w:szCs w:val="20"/>
                <w:lang w:eastAsia="it-IT"/>
              </w:rPr>
              <w:t xml:space="preserve">Problemi affrontati. </w:t>
            </w:r>
            <w:r w:rsidRPr="00AD0276">
              <w:rPr>
                <w:rFonts w:cs="Calibri"/>
                <w:sz w:val="20"/>
                <w:szCs w:val="20"/>
                <w:lang w:eastAsia="it-IT"/>
              </w:rPr>
              <w:t>Una serie di sfide tipiche delle regioni in declino economico: declino demografico, disoccupazione, edifici vuoti e povertà, che influenzano la vitalità e la qualità della vita nelle comunità locali.  Inoltre, l'invecchiamento della forza lavoro e la carenza di lavoratori qualificati ostacolano la transizione energetica e l'edilizia sostenibile e circolare. Allo stesso tempo, l'integrazione dei rifugiati si rivela impegnativa, compresa la ricerca di un impiego, il che significa che le loro competenze e competenze rimangono un potenziale inutilizzato per la regione.</w:t>
            </w:r>
            <w:bookmarkEnd w:id="20"/>
          </w:p>
          <w:p w14:paraId="79161CBA" w14:textId="54EC845F" w:rsidR="0057704A" w:rsidRPr="00AD0276" w:rsidRDefault="004A66A7">
            <w:pPr>
              <w:pStyle w:val="Standard"/>
              <w:spacing w:after="0" w:line="240" w:lineRule="auto"/>
              <w:jc w:val="both"/>
              <w:rPr>
                <w:rFonts w:cs="Calibri"/>
              </w:rPr>
            </w:pPr>
            <w:r w:rsidRPr="00AD0276">
              <w:rPr>
                <w:rFonts w:cs="Calibri"/>
                <w:color w:val="5B9BD5"/>
                <w:sz w:val="20"/>
                <w:szCs w:val="20"/>
                <w:lang w:eastAsia="it-IT"/>
              </w:rPr>
              <w:t xml:space="preserve">Soluzioni Innovative </w:t>
            </w:r>
            <w:r w:rsidRPr="00AD0276">
              <w:rPr>
                <w:rFonts w:cs="Calibri"/>
                <w:sz w:val="20"/>
                <w:szCs w:val="20"/>
                <w:lang w:eastAsia="it-IT"/>
              </w:rPr>
              <w:t xml:space="preserve">WOOW 2020-2022 si concentra sul mercato del lavoro, preparando specificamente i rifugiati con certificati e/o esperienza nel settore delle costruzioni e dell'ingegneria per una carriera nel Limburgo. Parallelamente, WOOW ha anche istituito un "Living Lab" per l'innovazione sociale nell'edificio </w:t>
            </w:r>
            <w:proofErr w:type="spellStart"/>
            <w:r w:rsidRPr="00AD0276">
              <w:rPr>
                <w:rFonts w:cs="Calibri"/>
                <w:sz w:val="20"/>
                <w:szCs w:val="20"/>
                <w:lang w:eastAsia="it-IT"/>
              </w:rPr>
              <w:t>Saffierflat</w:t>
            </w:r>
            <w:proofErr w:type="spellEnd"/>
            <w:r w:rsidRPr="00AD0276">
              <w:rPr>
                <w:rFonts w:cs="Calibri"/>
                <w:sz w:val="20"/>
                <w:szCs w:val="20"/>
                <w:lang w:eastAsia="it-IT"/>
              </w:rPr>
              <w:t xml:space="preserve"> nel quartiere GMS- l'edificio è in fase di ristrutturazione da parte dei partecipanti di WOOW, consentendo loro di mettere in pratica le conoscenze tecniche acquisite durante la formazione. Gli abitanti del quartiere sono coinvolti nel determinare quali servizi sono necessari, attraverso consultazioni dirette e sessioni di dialogo. Il progetto WOOW affronta molteplici sfide in un unico progetto, riunendo discipline tecniche e sociali in una "quadrupla elica": istituti di conoscenza e istruzione, settore pubblico, settore privato, organizzazioni sociali e comunità locale. Insieme, sviluppano soluzioni pratiche per migliorare la vitalità e la coesione sociale nel quartiere GMS.</w:t>
            </w:r>
          </w:p>
          <w:p w14:paraId="79161CBB" w14:textId="0368F35D" w:rsidR="0057704A" w:rsidRPr="00AD0276" w:rsidRDefault="004A66A7">
            <w:pPr>
              <w:pStyle w:val="Standard"/>
              <w:spacing w:after="0" w:line="240" w:lineRule="auto"/>
              <w:jc w:val="both"/>
              <w:rPr>
                <w:rFonts w:cs="Calibri"/>
              </w:rPr>
            </w:pPr>
            <w:r w:rsidRPr="00AD0276">
              <w:rPr>
                <w:rFonts w:cs="Calibri"/>
                <w:color w:val="5B9BD5"/>
                <w:sz w:val="20"/>
                <w:szCs w:val="20"/>
                <w:lang w:eastAsia="it-IT"/>
              </w:rPr>
              <w:t xml:space="preserve">Principali risultati e </w:t>
            </w:r>
            <w:r w:rsidR="00F75FEC" w:rsidRPr="00AD0276">
              <w:rPr>
                <w:rFonts w:cs="Calibri"/>
                <w:color w:val="5B9BD5"/>
                <w:sz w:val="20"/>
                <w:szCs w:val="20"/>
                <w:lang w:eastAsia="it-IT"/>
              </w:rPr>
              <w:t>benefici.</w:t>
            </w:r>
            <w:r w:rsidRPr="00AD0276">
              <w:rPr>
                <w:rFonts w:cs="Calibri"/>
                <w:color w:val="5B9BD5"/>
                <w:sz w:val="20"/>
                <w:szCs w:val="20"/>
                <w:lang w:eastAsia="it-IT"/>
              </w:rPr>
              <w:t xml:space="preserve"> </w:t>
            </w:r>
            <w:r w:rsidRPr="00AD0276">
              <w:rPr>
                <w:rFonts w:cs="Calibri"/>
                <w:sz w:val="20"/>
                <w:szCs w:val="20"/>
                <w:lang w:eastAsia="it-IT"/>
              </w:rPr>
              <w:t xml:space="preserve">Sulla base delle sessioni di valutazione del primo anno, sono stati individuati i seguenti indicatori come cruciali per il successo dell'integrazione </w:t>
            </w:r>
            <w:proofErr w:type="gramStart"/>
            <w:r w:rsidRPr="00AD0276">
              <w:rPr>
                <w:rFonts w:cs="Calibri"/>
                <w:sz w:val="20"/>
                <w:szCs w:val="20"/>
                <w:lang w:eastAsia="it-IT"/>
              </w:rPr>
              <w:t>socio-economica</w:t>
            </w:r>
            <w:proofErr w:type="gramEnd"/>
            <w:r w:rsidRPr="00AD0276">
              <w:rPr>
                <w:rFonts w:cs="Calibri"/>
                <w:sz w:val="20"/>
                <w:szCs w:val="20"/>
                <w:lang w:eastAsia="it-IT"/>
              </w:rPr>
              <w:t xml:space="preserve"> dei partecipanti: competenze linguistiche e di comunicazione interculturale, percezioni e aspettative, benessere (fisico e mentale), conoscenze professionali</w:t>
            </w:r>
            <w:r>
              <w:rPr>
                <w:rFonts w:ascii="Calibri Light" w:hAnsi="Calibri Light" w:cs="Calibri"/>
                <w:sz w:val="20"/>
                <w:szCs w:val="20"/>
                <w:lang w:eastAsia="it-IT"/>
              </w:rPr>
              <w:t xml:space="preserve"> </w:t>
            </w:r>
            <w:r>
              <w:rPr>
                <w:rFonts w:ascii="Calibri Light" w:hAnsi="Calibri Light" w:cs="Calibri"/>
                <w:sz w:val="20"/>
                <w:szCs w:val="20"/>
                <w:lang w:eastAsia="it-IT"/>
              </w:rPr>
              <w:lastRenderedPageBreak/>
              <w:t>/</w:t>
            </w:r>
            <w:r w:rsidRPr="00AD0276">
              <w:rPr>
                <w:rFonts w:cs="Calibri"/>
                <w:sz w:val="20"/>
                <w:szCs w:val="20"/>
                <w:lang w:eastAsia="it-IT"/>
              </w:rPr>
              <w:t>competenze. Questi indicatori possono essere utilizzati per preparare una serie di raccomandazioni per una migliore integrazione dei partecipanti al mercato del lavoro. Il progetto WOOW prepara professionisti altamente qualificati per il mercato del lavoro e contribuisce all'integrazione dei rifugiati nella comunità. Nell'anno accademico 2020-2021, 13 partecipanti hanno completato il programma a livello Bachelor, 12 hanno ottenuto uno stage e nove hanno trovato un lavoro retribuito. Nell'anno accademico 2021-2022, 10 studenti partecipano al programma a livello Bachelor, mentre 14 seguono il percorso professionale</w:t>
            </w:r>
          </w:p>
          <w:p w14:paraId="79161CBC" w14:textId="77777777" w:rsidR="0057704A" w:rsidRDefault="004A66A7">
            <w:pPr>
              <w:pStyle w:val="Standard"/>
              <w:spacing w:after="0" w:line="240" w:lineRule="auto"/>
              <w:jc w:val="both"/>
            </w:pPr>
            <w:r w:rsidRPr="00AD0276">
              <w:rPr>
                <w:rFonts w:cs="Calibri"/>
                <w:color w:val="5B9BD5"/>
                <w:sz w:val="20"/>
                <w:szCs w:val="20"/>
                <w:lang w:eastAsia="it-IT"/>
              </w:rPr>
              <w:t>Potenziale di mainstreaming/scaling up I</w:t>
            </w:r>
            <w:r w:rsidRPr="00AD0276">
              <w:rPr>
                <w:rFonts w:cs="Calibri"/>
                <w:sz w:val="20"/>
                <w:szCs w:val="20"/>
                <w:lang w:eastAsia="it-IT"/>
              </w:rPr>
              <w:t>l concetto WOOW può essere applicato ad altre regioni e quartieri con sfide simili ed anche ad altri gruppi target, come i disoccupati e altri lavoratori migranti. La metodologia di valutazione basata sugli indicatori sviluppati dal progetto può essere utilizzata anche per elaborare raccomandazioni destinate alle aziende per adeguare la politica delle</w:t>
            </w:r>
            <w:r>
              <w:rPr>
                <w:rFonts w:ascii="Calibri Light" w:hAnsi="Calibri Light" w:cs="Calibri"/>
                <w:sz w:val="20"/>
                <w:szCs w:val="20"/>
                <w:lang w:eastAsia="it-IT"/>
              </w:rPr>
              <w:t xml:space="preserve"> risorse umane ad essere più inclusiva e per facilitare una migliore integrazione dei rifugiati e di altri lavoratori migranti.</w:t>
            </w:r>
          </w:p>
        </w:tc>
      </w:tr>
      <w:tr w:rsidR="0057704A" w14:paraId="79161CBF" w14:textId="77777777" w:rsidTr="00EC7110">
        <w:tc>
          <w:tcPr>
            <w:tcW w:w="9615" w:type="dxa"/>
            <w:tcBorders>
              <w:top w:val="single" w:sz="12" w:space="0" w:color="767171"/>
              <w:left w:val="single" w:sz="18" w:space="0" w:color="5B9BD5"/>
              <w:bottom w:val="single" w:sz="18" w:space="0" w:color="5B9BD5"/>
              <w:right w:val="single" w:sz="18" w:space="0" w:color="5B9BD5"/>
            </w:tcBorders>
            <w:shd w:val="clear" w:color="auto" w:fill="FFD966"/>
            <w:tcMar>
              <w:top w:w="0" w:type="dxa"/>
              <w:left w:w="108" w:type="dxa"/>
              <w:bottom w:w="0" w:type="dxa"/>
              <w:right w:w="108" w:type="dxa"/>
            </w:tcMar>
          </w:tcPr>
          <w:p w14:paraId="79161CBE" w14:textId="77777777" w:rsidR="0057704A" w:rsidRDefault="004A66A7">
            <w:pPr>
              <w:pStyle w:val="Standard"/>
              <w:spacing w:after="0" w:line="240" w:lineRule="auto"/>
              <w:jc w:val="center"/>
            </w:pPr>
            <w:r>
              <w:rPr>
                <w:rFonts w:cs="Calibri"/>
                <w:b/>
                <w:bCs/>
                <w:color w:val="00000A"/>
                <w:sz w:val="20"/>
                <w:szCs w:val="20"/>
                <w:lang w:eastAsia="it-IT"/>
              </w:rPr>
              <w:lastRenderedPageBreak/>
              <w:t>3.3 Inclusione attiva e Integrazione sociale delle persone a rischio</w:t>
            </w:r>
          </w:p>
        </w:tc>
      </w:tr>
      <w:tr w:rsidR="0057704A" w14:paraId="79161CC2" w14:textId="77777777" w:rsidTr="00EC7110">
        <w:tc>
          <w:tcPr>
            <w:tcW w:w="9615" w:type="dxa"/>
            <w:tcBorders>
              <w:top w:val="single" w:sz="18" w:space="0" w:color="5B9BD5"/>
              <w:left w:val="single" w:sz="18" w:space="0" w:color="5B9BD5"/>
              <w:bottom w:val="single" w:sz="18" w:space="0" w:color="5B9BD5"/>
              <w:right w:val="single" w:sz="18" w:space="0" w:color="5B9BD5"/>
            </w:tcBorders>
            <w:shd w:val="clear" w:color="auto" w:fill="FFE599"/>
            <w:tcMar>
              <w:top w:w="0" w:type="dxa"/>
              <w:left w:w="108" w:type="dxa"/>
              <w:bottom w:w="0" w:type="dxa"/>
              <w:right w:w="108" w:type="dxa"/>
            </w:tcMar>
          </w:tcPr>
          <w:p w14:paraId="79161CC0" w14:textId="3AE9C654" w:rsidR="0057704A" w:rsidRDefault="00AD0276">
            <w:pPr>
              <w:pStyle w:val="Standard"/>
              <w:spacing w:after="0" w:line="240" w:lineRule="auto"/>
              <w:jc w:val="center"/>
            </w:pPr>
            <w:r>
              <w:rPr>
                <w:rFonts w:cs="Calibri"/>
                <w:b/>
                <w:bCs/>
                <w:color w:val="002060"/>
                <w:sz w:val="20"/>
                <w:szCs w:val="20"/>
                <w:lang w:eastAsia="it-IT"/>
              </w:rPr>
              <w:t xml:space="preserve">REPUBBLICA </w:t>
            </w:r>
            <w:r w:rsidR="004A66A7">
              <w:rPr>
                <w:rFonts w:cs="Calibri"/>
                <w:b/>
                <w:bCs/>
                <w:color w:val="002060"/>
                <w:sz w:val="20"/>
                <w:szCs w:val="20"/>
                <w:lang w:eastAsia="it-IT"/>
              </w:rPr>
              <w:t>CECA</w:t>
            </w:r>
          </w:p>
          <w:p w14:paraId="79161CC1" w14:textId="77777777" w:rsidR="0057704A" w:rsidRDefault="004A66A7">
            <w:pPr>
              <w:pStyle w:val="Standard"/>
              <w:spacing w:after="0" w:line="240" w:lineRule="auto"/>
              <w:jc w:val="center"/>
            </w:pPr>
            <w:r>
              <w:rPr>
                <w:rFonts w:cs="Calibri"/>
                <w:b/>
                <w:bCs/>
                <w:color w:val="002060"/>
                <w:sz w:val="20"/>
                <w:szCs w:val="20"/>
                <w:lang w:eastAsia="it-IT"/>
              </w:rPr>
              <w:t>Un passo avanti</w:t>
            </w:r>
          </w:p>
        </w:tc>
      </w:tr>
      <w:tr w:rsidR="0057704A" w14:paraId="79161CC7" w14:textId="77777777" w:rsidTr="00EC7110">
        <w:tc>
          <w:tcPr>
            <w:tcW w:w="9615" w:type="dxa"/>
            <w:tcBorders>
              <w:top w:val="single" w:sz="18" w:space="0" w:color="5B9BD5"/>
              <w:left w:val="single" w:sz="18" w:space="0" w:color="5B9BD5"/>
              <w:bottom w:val="single" w:sz="18" w:space="0" w:color="5B9BD5"/>
              <w:right w:val="single" w:sz="18" w:space="0" w:color="5B9BD5"/>
            </w:tcBorders>
            <w:shd w:val="clear" w:color="auto" w:fill="FFFFFF"/>
            <w:tcMar>
              <w:top w:w="0" w:type="dxa"/>
              <w:left w:w="108" w:type="dxa"/>
              <w:bottom w:w="0" w:type="dxa"/>
              <w:right w:w="108" w:type="dxa"/>
            </w:tcMar>
          </w:tcPr>
          <w:p w14:paraId="79161CC3" w14:textId="77777777" w:rsidR="0057704A" w:rsidRPr="00013268" w:rsidRDefault="004A66A7">
            <w:pPr>
              <w:pStyle w:val="Standard"/>
              <w:spacing w:after="0" w:line="240" w:lineRule="auto"/>
              <w:jc w:val="both"/>
              <w:rPr>
                <w:rFonts w:cs="Calibri"/>
              </w:rPr>
            </w:pPr>
            <w:r w:rsidRPr="00013268">
              <w:rPr>
                <w:rFonts w:cs="Calibri"/>
                <w:color w:val="5B9BD5"/>
                <w:sz w:val="20"/>
                <w:szCs w:val="20"/>
                <w:lang w:eastAsia="it-IT"/>
              </w:rPr>
              <w:t xml:space="preserve">Problemi affrontati. </w:t>
            </w:r>
            <w:r w:rsidRPr="00013268">
              <w:rPr>
                <w:rFonts w:cs="Calibri"/>
                <w:color w:val="00000A"/>
                <w:sz w:val="20"/>
                <w:szCs w:val="20"/>
                <w:lang w:eastAsia="it-IT"/>
              </w:rPr>
              <w:t>Alto numero di bambini istituzionalizzati. Mancanza di servizi di sensibilizzazione e di sostegno di comunità alle famiglie vulnerabili e l'assenza di alloggi sociali. I giovani che sono cresciuti in istituto potrebbero incontrare difficoltà nel passaggio a una vita indipendente. Il progetto intende rispondere a queste esigenze</w:t>
            </w:r>
          </w:p>
          <w:p w14:paraId="79161CC4" w14:textId="77777777" w:rsidR="0057704A" w:rsidRPr="00013268" w:rsidRDefault="004A66A7">
            <w:pPr>
              <w:pStyle w:val="Standard"/>
              <w:spacing w:after="0" w:line="240" w:lineRule="auto"/>
              <w:jc w:val="both"/>
              <w:rPr>
                <w:rFonts w:cs="Calibri"/>
              </w:rPr>
            </w:pPr>
            <w:r w:rsidRPr="00013268">
              <w:rPr>
                <w:rFonts w:cs="Calibri"/>
                <w:color w:val="5B9BD5"/>
                <w:sz w:val="20"/>
                <w:szCs w:val="20"/>
                <w:lang w:eastAsia="it-IT"/>
              </w:rPr>
              <w:t xml:space="preserve">Soluzioni Innovative. </w:t>
            </w:r>
            <w:r w:rsidRPr="00013268">
              <w:rPr>
                <w:rFonts w:cs="Calibri"/>
                <w:sz w:val="20"/>
                <w:szCs w:val="20"/>
                <w:lang w:eastAsia="it-IT"/>
              </w:rPr>
              <w:t xml:space="preserve">Il Nell'ambito del progetto One Step </w:t>
            </w:r>
            <w:proofErr w:type="spellStart"/>
            <w:r w:rsidRPr="00013268">
              <w:rPr>
                <w:rFonts w:cs="Calibri"/>
                <w:sz w:val="20"/>
                <w:szCs w:val="20"/>
                <w:lang w:eastAsia="it-IT"/>
              </w:rPr>
              <w:t>Ahead</w:t>
            </w:r>
            <w:proofErr w:type="spellEnd"/>
            <w:r w:rsidRPr="00013268">
              <w:rPr>
                <w:rFonts w:cs="Calibri"/>
                <w:sz w:val="20"/>
                <w:szCs w:val="20"/>
                <w:lang w:eastAsia="it-IT"/>
              </w:rPr>
              <w:t xml:space="preserve"> finanziato dal FSE, il GAL </w:t>
            </w:r>
            <w:proofErr w:type="spellStart"/>
            <w:r w:rsidRPr="00013268">
              <w:rPr>
                <w:rFonts w:cs="Calibri"/>
                <w:sz w:val="20"/>
                <w:szCs w:val="20"/>
                <w:lang w:eastAsia="it-IT"/>
              </w:rPr>
              <w:t>Hradecký</w:t>
            </w:r>
            <w:proofErr w:type="spellEnd"/>
            <w:r w:rsidRPr="00013268">
              <w:rPr>
                <w:rFonts w:cs="Calibri"/>
                <w:sz w:val="20"/>
                <w:szCs w:val="20"/>
                <w:lang w:eastAsia="it-IT"/>
              </w:rPr>
              <w:t xml:space="preserve"> </w:t>
            </w:r>
            <w:proofErr w:type="spellStart"/>
            <w:r w:rsidRPr="00013268">
              <w:rPr>
                <w:rFonts w:cs="Calibri"/>
                <w:sz w:val="20"/>
                <w:szCs w:val="20"/>
                <w:lang w:eastAsia="it-IT"/>
              </w:rPr>
              <w:t>venkov</w:t>
            </w:r>
            <w:proofErr w:type="spellEnd"/>
            <w:r w:rsidRPr="00013268">
              <w:rPr>
                <w:rFonts w:cs="Calibri"/>
                <w:sz w:val="20"/>
                <w:szCs w:val="20"/>
                <w:lang w:eastAsia="it-IT"/>
              </w:rPr>
              <w:t xml:space="preserve"> (Gruppo di azione locale Hradec area rurale) ha fornito sostegno ai giovani che hanno trascorso la maggior parte della loro vita in un orfanotrofio, preparandoli a una vita indipendente al di fuori dell'assistenza istituzionale, migliorando la loro alfabetizzazione finanziaria e facilitando il loro accesso al mercato del lavoro. Il progetto si è concentrato sui bambini con bisogni educativi speciali provenienti da famiglie disagiate, ad alto rischio di esclusione sociale o che crescono in affidamento. Il GAL </w:t>
            </w:r>
            <w:proofErr w:type="spellStart"/>
            <w:r w:rsidRPr="00013268">
              <w:rPr>
                <w:rFonts w:cs="Calibri"/>
                <w:sz w:val="20"/>
                <w:szCs w:val="20"/>
                <w:lang w:eastAsia="it-IT"/>
              </w:rPr>
              <w:t>Hradecký</w:t>
            </w:r>
            <w:proofErr w:type="spellEnd"/>
            <w:r w:rsidRPr="00013268">
              <w:rPr>
                <w:rFonts w:cs="Calibri"/>
                <w:sz w:val="20"/>
                <w:szCs w:val="20"/>
                <w:lang w:eastAsia="it-IT"/>
              </w:rPr>
              <w:t xml:space="preserve"> </w:t>
            </w:r>
            <w:proofErr w:type="spellStart"/>
            <w:r w:rsidRPr="00013268">
              <w:rPr>
                <w:rFonts w:cs="Calibri"/>
                <w:sz w:val="20"/>
                <w:szCs w:val="20"/>
                <w:lang w:eastAsia="it-IT"/>
              </w:rPr>
              <w:t>venkov</w:t>
            </w:r>
            <w:proofErr w:type="spellEnd"/>
            <w:r w:rsidRPr="00013268">
              <w:rPr>
                <w:rFonts w:cs="Calibri"/>
                <w:sz w:val="20"/>
                <w:szCs w:val="20"/>
                <w:lang w:eastAsia="it-IT"/>
              </w:rPr>
              <w:t xml:space="preserve"> (GAL HV) ha offerto a questi giovani la possibilità di trovare lavoro e alloggio mettendoli in contatto con potenziali datori di lavoro della regione, fornendo orientamento e sostenendo una formazione che consentisse ai giovani a sviluppare le abilità pratiche necessarie per sostenersi. Le attività hanno risposto anche alla mancanza di forza lavoro nelle zone rurali.</w:t>
            </w:r>
          </w:p>
          <w:p w14:paraId="79161CC5" w14:textId="3F68CA04" w:rsidR="0057704A" w:rsidRPr="00013268" w:rsidRDefault="004A66A7">
            <w:pPr>
              <w:pStyle w:val="Standard"/>
              <w:spacing w:after="0" w:line="240" w:lineRule="auto"/>
              <w:jc w:val="both"/>
              <w:rPr>
                <w:rFonts w:cs="Calibri"/>
              </w:rPr>
            </w:pPr>
            <w:r w:rsidRPr="00013268">
              <w:rPr>
                <w:rFonts w:cs="Calibri"/>
                <w:color w:val="5B9BD5"/>
                <w:sz w:val="20"/>
                <w:szCs w:val="20"/>
                <w:lang w:eastAsia="it-IT"/>
              </w:rPr>
              <w:t xml:space="preserve">Principali risultati e benefici. </w:t>
            </w:r>
            <w:r w:rsidRPr="00013268">
              <w:rPr>
                <w:rFonts w:cs="Calibri"/>
                <w:sz w:val="20"/>
                <w:szCs w:val="20"/>
                <w:lang w:eastAsia="it-IT"/>
              </w:rPr>
              <w:t xml:space="preserve">Le attività del progetto hanno avuto un effetto positivo sul gruppo target e che i partecipanti hanno acquisito competenze pratiche e conoscenze che possono utilizzare dopo aver lasciato le istituzioni. In particolare, i seminari sulla finanza e la sicurezza sociale hanno fornito spiegazioni chiare con esempi specifici, aiutando i partecipanti ad orientarsi nel sistema sociale ceco. A tutti i bambini è stata data l'opportunità di frequentare campi estivi per due anni consecutivi dove hanno potuto conoscere e praticare gli argomenti di cui sopra, rafforzando la loro </w:t>
            </w:r>
            <w:r w:rsidR="00013268" w:rsidRPr="00013268">
              <w:rPr>
                <w:rFonts w:cs="Calibri"/>
                <w:sz w:val="20"/>
                <w:szCs w:val="20"/>
                <w:lang w:eastAsia="it-IT"/>
              </w:rPr>
              <w:t>autonomia.</w:t>
            </w:r>
            <w:r w:rsidRPr="00013268">
              <w:rPr>
                <w:rFonts w:cs="Calibri"/>
                <w:sz w:val="20"/>
                <w:szCs w:val="20"/>
                <w:lang w:eastAsia="it-IT"/>
              </w:rPr>
              <w:t xml:space="preserve"> Due risultati chiave del progetto includono un manuale sui programmi di mentoring – destinato ai mentori coinvolti – e il Manuale per i rappresentanti dei comuni, dei datori di lavoro e delle aziende per i comuni coinvolti, i datori di lavoro e le aziende).</w:t>
            </w:r>
          </w:p>
          <w:p w14:paraId="79161CC6" w14:textId="77777777" w:rsidR="0057704A" w:rsidRDefault="004A66A7">
            <w:pPr>
              <w:pStyle w:val="Standard"/>
              <w:spacing w:after="0" w:line="240" w:lineRule="auto"/>
              <w:jc w:val="both"/>
            </w:pPr>
            <w:r w:rsidRPr="00013268">
              <w:rPr>
                <w:rFonts w:cs="Calibri"/>
                <w:color w:val="5B9BD5"/>
                <w:sz w:val="20"/>
                <w:szCs w:val="20"/>
                <w:lang w:eastAsia="it-IT"/>
              </w:rPr>
              <w:t xml:space="preserve">Potenziale di mainstreaming/scaling up. </w:t>
            </w:r>
            <w:r w:rsidRPr="00013268">
              <w:rPr>
                <w:rFonts w:cs="Calibri"/>
                <w:sz w:val="20"/>
                <w:szCs w:val="20"/>
                <w:lang w:eastAsia="it-IT"/>
              </w:rPr>
              <w:t>1) Programmi di mentoring e stage con i datori di lavoro 2) Il coinvolgimento dei partecipanti ai GAL ha permesso loro di incontrare la comunità e conoscere la loro vita quotidiana 3) Lezioni tenute da studenti universitari volontari su diversi argomenti, coinvolti anche per sviluppare la fiducia dei giovani nelle attività del progetto; inoltre essendo più vicini al gruppo target per età e lingua, hanno anche favorito la comunicazione</w:t>
            </w:r>
            <w:r>
              <w:rPr>
                <w:rFonts w:ascii="Calibri Light" w:hAnsi="Calibri Light" w:cs="Calibri"/>
                <w:sz w:val="20"/>
                <w:szCs w:val="20"/>
                <w:lang w:eastAsia="it-IT"/>
              </w:rPr>
              <w:t>.</w:t>
            </w:r>
          </w:p>
        </w:tc>
      </w:tr>
      <w:tr w:rsidR="0057704A" w14:paraId="79161CC9" w14:textId="77777777" w:rsidTr="00EC7110">
        <w:tc>
          <w:tcPr>
            <w:tcW w:w="9615" w:type="dxa"/>
            <w:tcBorders>
              <w:top w:val="single" w:sz="12" w:space="0" w:color="0070C0"/>
              <w:bottom w:val="single" w:sz="12" w:space="0" w:color="0070C0"/>
            </w:tcBorders>
            <w:shd w:val="clear" w:color="auto" w:fill="D60093"/>
            <w:tcMar>
              <w:top w:w="0" w:type="dxa"/>
              <w:left w:w="108" w:type="dxa"/>
              <w:bottom w:w="0" w:type="dxa"/>
              <w:right w:w="108" w:type="dxa"/>
            </w:tcMar>
          </w:tcPr>
          <w:p w14:paraId="79161CC8" w14:textId="77777777" w:rsidR="0057704A" w:rsidRDefault="004A66A7">
            <w:pPr>
              <w:pStyle w:val="Standard"/>
              <w:spacing w:after="0" w:line="240" w:lineRule="auto"/>
              <w:jc w:val="center"/>
            </w:pPr>
            <w:r>
              <w:rPr>
                <w:rFonts w:ascii="Calibri Light" w:hAnsi="Calibri Light" w:cs="Calibri"/>
                <w:b/>
                <w:bCs/>
                <w:color w:val="002060"/>
                <w:sz w:val="20"/>
                <w:szCs w:val="20"/>
                <w:lang w:eastAsia="it-IT"/>
              </w:rPr>
              <w:t>4. Assistenza sociale</w:t>
            </w:r>
            <w:r>
              <w:rPr>
                <w:rFonts w:ascii="Calibri Light" w:hAnsi="Calibri Light" w:cs="Calibri"/>
                <w:sz w:val="20"/>
                <w:szCs w:val="20"/>
                <w:lang w:eastAsia="it-IT"/>
              </w:rPr>
              <w:t xml:space="preserve"> </w:t>
            </w:r>
            <w:r>
              <w:rPr>
                <w:rFonts w:ascii="Calibri Light" w:hAnsi="Calibri Light" w:cs="Calibri"/>
                <w:b/>
                <w:bCs/>
                <w:color w:val="002060"/>
                <w:sz w:val="20"/>
                <w:szCs w:val="20"/>
                <w:lang w:eastAsia="it-IT"/>
              </w:rPr>
              <w:t>temporanea su misura</w:t>
            </w:r>
          </w:p>
        </w:tc>
      </w:tr>
      <w:tr w:rsidR="0057704A" w14:paraId="79161CCC"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66FF"/>
            <w:tcMar>
              <w:top w:w="0" w:type="dxa"/>
              <w:left w:w="108" w:type="dxa"/>
              <w:bottom w:w="0" w:type="dxa"/>
              <w:right w:w="108" w:type="dxa"/>
            </w:tcMar>
          </w:tcPr>
          <w:p w14:paraId="79161CCA" w14:textId="77777777" w:rsidR="0057704A" w:rsidRDefault="004A66A7">
            <w:pPr>
              <w:pStyle w:val="Standard"/>
              <w:spacing w:after="0" w:line="240" w:lineRule="auto"/>
              <w:jc w:val="center"/>
            </w:pPr>
            <w:r>
              <w:rPr>
                <w:rFonts w:cs="Calibri"/>
                <w:b/>
                <w:bCs/>
                <w:color w:val="000000"/>
                <w:sz w:val="20"/>
                <w:szCs w:val="20"/>
                <w:lang w:eastAsia="it-IT"/>
              </w:rPr>
              <w:t>SPAGNA</w:t>
            </w:r>
          </w:p>
          <w:p w14:paraId="79161CCB" w14:textId="77777777" w:rsidR="0057704A" w:rsidRDefault="004A66A7">
            <w:pPr>
              <w:pStyle w:val="Standard"/>
              <w:spacing w:after="0" w:line="240" w:lineRule="auto"/>
              <w:jc w:val="center"/>
            </w:pPr>
            <w:r>
              <w:rPr>
                <w:rFonts w:cs="Calibri"/>
                <w:b/>
                <w:bCs/>
                <w:color w:val="000000"/>
                <w:sz w:val="20"/>
                <w:szCs w:val="20"/>
                <w:lang w:eastAsia="it-IT"/>
              </w:rPr>
              <w:t>NEO</w:t>
            </w:r>
          </w:p>
        </w:tc>
      </w:tr>
      <w:tr w:rsidR="0057704A" w14:paraId="79161CD5"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CCD" w14:textId="77777777" w:rsidR="0057704A" w:rsidRDefault="004A66A7">
            <w:pPr>
              <w:pStyle w:val="Standard"/>
              <w:spacing w:after="0" w:line="240" w:lineRule="auto"/>
            </w:pPr>
            <w:r>
              <w:rPr>
                <w:rFonts w:cs="Calibri"/>
                <w:color w:val="5B9BD5"/>
                <w:sz w:val="20"/>
                <w:szCs w:val="20"/>
                <w:lang w:eastAsia="it-IT"/>
              </w:rPr>
              <w:t>Problemi affrontati</w:t>
            </w:r>
          </w:p>
          <w:p w14:paraId="79161CCE" w14:textId="77777777" w:rsidR="0057704A" w:rsidRDefault="004A66A7">
            <w:pPr>
              <w:pStyle w:val="Standard"/>
              <w:spacing w:after="0" w:line="240" w:lineRule="auto"/>
              <w:jc w:val="both"/>
            </w:pPr>
            <w:r>
              <w:rPr>
                <w:rFonts w:cs="Calibri"/>
                <w:sz w:val="20"/>
                <w:szCs w:val="20"/>
                <w:lang w:eastAsia="it-IT"/>
              </w:rPr>
              <w:t xml:space="preserve">La questione della violenza fisica e/o sessuale che in spagna ha avuto una crescente attenzione, </w:t>
            </w:r>
            <w:proofErr w:type="spellStart"/>
            <w:r>
              <w:rPr>
                <w:rFonts w:cs="Calibri"/>
                <w:sz w:val="20"/>
                <w:szCs w:val="20"/>
                <w:lang w:eastAsia="it-IT"/>
              </w:rPr>
              <w:t>risponendo</w:t>
            </w:r>
            <w:proofErr w:type="spellEnd"/>
            <w:r>
              <w:rPr>
                <w:rFonts w:cs="Calibri"/>
                <w:sz w:val="20"/>
                <w:szCs w:val="20"/>
                <w:lang w:eastAsia="it-IT"/>
              </w:rPr>
              <w:t xml:space="preserve"> al fenomeno ad esempio con la legge globale contro la violenza di genere del 2004 e la legge sull'uguaglianza del 2007. Resta ancora molto da fare, in particolare per quanto riguarda la necessità che gli uomini siano consapevoli del ruolo importante che svolgono nella lotta contro la disuguaglianza di genere nella società.</w:t>
            </w:r>
          </w:p>
          <w:p w14:paraId="79161CCF"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D0" w14:textId="77777777" w:rsidR="0057704A" w:rsidRDefault="004A66A7">
            <w:pPr>
              <w:pStyle w:val="Standard"/>
              <w:spacing w:after="0" w:line="240" w:lineRule="auto"/>
              <w:jc w:val="both"/>
            </w:pPr>
            <w:r>
              <w:rPr>
                <w:rFonts w:cs="Calibri"/>
                <w:sz w:val="20"/>
                <w:szCs w:val="20"/>
                <w:lang w:eastAsia="it-IT"/>
              </w:rPr>
              <w:t xml:space="preserve">Il progetto NEO, fondato nel 2018 dalla Fondazione </w:t>
            </w:r>
            <w:proofErr w:type="spellStart"/>
            <w:proofErr w:type="gramStart"/>
            <w:r>
              <w:rPr>
                <w:rFonts w:cs="Calibri"/>
                <w:sz w:val="20"/>
                <w:szCs w:val="20"/>
                <w:lang w:eastAsia="it-IT"/>
              </w:rPr>
              <w:t>Cepaim</w:t>
            </w:r>
            <w:proofErr w:type="spellEnd"/>
            <w:r>
              <w:rPr>
                <w:rFonts w:cs="Calibri"/>
                <w:sz w:val="20"/>
                <w:szCs w:val="20"/>
                <w:lang w:eastAsia="it-IT"/>
              </w:rPr>
              <w:t xml:space="preserve"> ,</w:t>
            </w:r>
            <w:proofErr w:type="gramEnd"/>
            <w:r>
              <w:rPr>
                <w:rFonts w:cs="Calibri"/>
                <w:sz w:val="20"/>
                <w:szCs w:val="20"/>
                <w:lang w:eastAsia="it-IT"/>
              </w:rPr>
              <w:t xml:space="preserve"> mira a comprendere le esperienze di vita degli uomini per trasformarli in alleati nella lotta per la parità di genere.</w:t>
            </w:r>
            <w:r>
              <w:rPr>
                <w:sz w:val="20"/>
                <w:szCs w:val="20"/>
                <w:lang w:eastAsia="it-IT"/>
              </w:rPr>
              <w:t xml:space="preserve"> </w:t>
            </w:r>
            <w:r>
              <w:rPr>
                <w:rFonts w:cs="Calibri"/>
                <w:sz w:val="20"/>
                <w:szCs w:val="20"/>
                <w:lang w:eastAsia="it-IT"/>
              </w:rPr>
              <w:t xml:space="preserve">Attraverso workshop partecipativi ed eventi di sensibilizzazione, il progetto NEO si basa sul precedente lavoro della Fondazione </w:t>
            </w:r>
            <w:proofErr w:type="spellStart"/>
            <w:r>
              <w:rPr>
                <w:rFonts w:cs="Calibri"/>
                <w:sz w:val="20"/>
                <w:szCs w:val="20"/>
                <w:lang w:eastAsia="it-IT"/>
              </w:rPr>
              <w:t>Cepaim</w:t>
            </w:r>
            <w:proofErr w:type="spellEnd"/>
            <w:r>
              <w:rPr>
                <w:rFonts w:cs="Calibri"/>
                <w:sz w:val="20"/>
                <w:szCs w:val="20"/>
                <w:lang w:eastAsia="it-IT"/>
              </w:rPr>
              <w:t xml:space="preserve"> nello sviluppo di metodologie di gruppo innovative per lavorare con gli uomini, estendendo il progetto ad altri luoghi di lavoro in istituzioni pubbliche e private e analizzando gli attuali ruoli di genere sul posto di lavoro, le barriere esistenti cambiare, l'organizzazione del lavoro tra i lavoratori e le differenze di opportunità tra uomini e donne. Il progetto gestisce anche la "Campagna 365", un programma per plasmare "l'uomo egualitario" che si sforza di "prendersi cura, rinunciare e agire per l'uguaglianza di genere 365 giorni all'anno".</w:t>
            </w:r>
          </w:p>
          <w:p w14:paraId="79161CD1" w14:textId="77777777" w:rsidR="0057704A" w:rsidRDefault="004A66A7">
            <w:pPr>
              <w:pStyle w:val="Standard"/>
              <w:spacing w:after="0" w:line="240" w:lineRule="auto"/>
              <w:jc w:val="both"/>
            </w:pPr>
            <w:r>
              <w:rPr>
                <w:rFonts w:cs="Calibri"/>
                <w:color w:val="5B9BD5"/>
                <w:sz w:val="20"/>
                <w:szCs w:val="20"/>
                <w:lang w:eastAsia="it-IT"/>
              </w:rPr>
              <w:t xml:space="preserve">Principali risultati e benefici. </w:t>
            </w:r>
            <w:r>
              <w:rPr>
                <w:rFonts w:cs="Calibri"/>
                <w:sz w:val="20"/>
                <w:szCs w:val="20"/>
                <w:lang w:eastAsia="it-IT"/>
              </w:rPr>
              <w:t xml:space="preserve"> </w:t>
            </w:r>
          </w:p>
          <w:p w14:paraId="79161CD2" w14:textId="77777777" w:rsidR="0057704A" w:rsidRDefault="004A66A7">
            <w:pPr>
              <w:pStyle w:val="Standard"/>
              <w:spacing w:after="0" w:line="240" w:lineRule="auto"/>
              <w:jc w:val="both"/>
            </w:pPr>
            <w:r>
              <w:rPr>
                <w:rFonts w:cs="Calibri"/>
                <w:sz w:val="20"/>
                <w:szCs w:val="20"/>
                <w:lang w:eastAsia="it-IT"/>
              </w:rPr>
              <w:lastRenderedPageBreak/>
              <w:t>NEO ha spostato le questioni di genere dall'essere una preoccupazione "solo per le donne", aumentando la titolarità e la consapevolezza dell'impatto delle soluzioni per l'uguaglianza di genere anche tra gli uomini.</w:t>
            </w:r>
            <w:r>
              <w:rPr>
                <w:sz w:val="20"/>
                <w:szCs w:val="20"/>
                <w:lang w:eastAsia="it-IT"/>
              </w:rPr>
              <w:t xml:space="preserve"> </w:t>
            </w:r>
            <w:r>
              <w:rPr>
                <w:rFonts w:cs="Calibri"/>
                <w:sz w:val="20"/>
                <w:szCs w:val="20"/>
                <w:lang w:eastAsia="it-IT"/>
              </w:rPr>
              <w:t xml:space="preserve">Due risultati principali del progetto NEO </w:t>
            </w:r>
            <w:proofErr w:type="spellStart"/>
            <w:r>
              <w:rPr>
                <w:rFonts w:cs="Calibri"/>
                <w:sz w:val="20"/>
                <w:szCs w:val="20"/>
                <w:lang w:eastAsia="it-IT"/>
              </w:rPr>
              <w:t>sonoorientamento</w:t>
            </w:r>
            <w:proofErr w:type="spellEnd"/>
            <w:r>
              <w:rPr>
                <w:rFonts w:cs="Calibri"/>
                <w:sz w:val="20"/>
                <w:szCs w:val="20"/>
                <w:lang w:eastAsia="it-IT"/>
              </w:rPr>
              <w:t xml:space="preserve"> per le aziende e orientamento per gli enti e le istituzioni pubbliche che vogliono incorporare gli uomini nella loro strategia di uguaglianza.</w:t>
            </w:r>
          </w:p>
          <w:p w14:paraId="79161CD3" w14:textId="77777777" w:rsidR="0057704A" w:rsidRDefault="004A66A7">
            <w:pPr>
              <w:pStyle w:val="Standard"/>
              <w:spacing w:after="0" w:line="240" w:lineRule="auto"/>
              <w:jc w:val="both"/>
            </w:pPr>
            <w:r>
              <w:rPr>
                <w:rFonts w:cs="Calibri"/>
                <w:color w:val="5B9BD5"/>
                <w:sz w:val="20"/>
                <w:szCs w:val="20"/>
                <w:lang w:eastAsia="it-IT"/>
              </w:rPr>
              <w:t>Potenziale di mainstreaming/scaling up.</w:t>
            </w:r>
          </w:p>
          <w:p w14:paraId="79161CD4" w14:textId="77777777" w:rsidR="0057704A" w:rsidRDefault="004A66A7">
            <w:pPr>
              <w:pStyle w:val="Standard"/>
              <w:spacing w:after="0" w:line="240" w:lineRule="auto"/>
              <w:jc w:val="both"/>
            </w:pPr>
            <w:r>
              <w:rPr>
                <w:rFonts w:cs="Calibri"/>
                <w:sz w:val="20"/>
                <w:szCs w:val="20"/>
                <w:lang w:eastAsia="it-IT"/>
              </w:rPr>
              <w:t xml:space="preserve">Attraverso NEO e </w:t>
            </w:r>
            <w:proofErr w:type="spellStart"/>
            <w:r>
              <w:rPr>
                <w:rFonts w:cs="Calibri"/>
                <w:sz w:val="20"/>
                <w:szCs w:val="20"/>
                <w:lang w:eastAsia="it-IT"/>
              </w:rPr>
              <w:t>Campaign</w:t>
            </w:r>
            <w:proofErr w:type="spellEnd"/>
            <w:r>
              <w:rPr>
                <w:rFonts w:cs="Calibri"/>
                <w:sz w:val="20"/>
                <w:szCs w:val="20"/>
                <w:lang w:eastAsia="it-IT"/>
              </w:rPr>
              <w:t xml:space="preserve"> 365, la Fondazione </w:t>
            </w:r>
            <w:proofErr w:type="spellStart"/>
            <w:r>
              <w:rPr>
                <w:rFonts w:cs="Calibri"/>
                <w:sz w:val="20"/>
                <w:szCs w:val="20"/>
                <w:lang w:eastAsia="it-IT"/>
              </w:rPr>
              <w:t>Cepaim</w:t>
            </w:r>
            <w:proofErr w:type="spellEnd"/>
            <w:r>
              <w:rPr>
                <w:rFonts w:cs="Calibri"/>
                <w:sz w:val="20"/>
                <w:szCs w:val="20"/>
                <w:lang w:eastAsia="it-IT"/>
              </w:rPr>
              <w:t xml:space="preserve"> mira a sviluppare partnership con le università per ampliare la formazione specializzata sulla </w:t>
            </w:r>
            <w:r>
              <w:rPr>
                <w:rFonts w:cs="Calibri"/>
                <w:i/>
                <w:iCs/>
                <w:sz w:val="20"/>
                <w:szCs w:val="20"/>
                <w:lang w:eastAsia="it-IT"/>
              </w:rPr>
              <w:t>mascolinità</w:t>
            </w:r>
            <w:r>
              <w:rPr>
                <w:rFonts w:cs="Calibri"/>
                <w:sz w:val="20"/>
                <w:szCs w:val="20"/>
                <w:lang w:eastAsia="it-IT"/>
              </w:rPr>
              <w:t>. Ciò sosterrà il suo potenziale per il trasferimento in un altro contesto, in particolare perché al momento in Spagna non esiste una formazione di questo tipo e c'è la possibilità di integrarla offrendola ad aziende, enti pubblici o ONG.</w:t>
            </w:r>
          </w:p>
        </w:tc>
      </w:tr>
      <w:tr w:rsidR="0057704A" w14:paraId="79161CD8"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66FF"/>
            <w:tcMar>
              <w:top w:w="0" w:type="dxa"/>
              <w:left w:w="108" w:type="dxa"/>
              <w:bottom w:w="0" w:type="dxa"/>
              <w:right w:w="108" w:type="dxa"/>
            </w:tcMar>
          </w:tcPr>
          <w:p w14:paraId="79161CD6" w14:textId="77777777" w:rsidR="0057704A" w:rsidRDefault="004A66A7">
            <w:pPr>
              <w:pStyle w:val="Standard"/>
              <w:spacing w:after="0" w:line="240" w:lineRule="auto"/>
              <w:jc w:val="center"/>
            </w:pPr>
            <w:r>
              <w:rPr>
                <w:rFonts w:cs="Calibri"/>
                <w:b/>
                <w:bCs/>
                <w:caps/>
                <w:color w:val="002060"/>
                <w:sz w:val="20"/>
                <w:szCs w:val="20"/>
                <w:lang w:eastAsia="it-IT"/>
              </w:rPr>
              <w:lastRenderedPageBreak/>
              <w:t>Olanda</w:t>
            </w:r>
          </w:p>
          <w:p w14:paraId="79161CD7" w14:textId="77777777" w:rsidR="0057704A" w:rsidRDefault="004A66A7">
            <w:pPr>
              <w:pStyle w:val="Standard"/>
              <w:spacing w:after="0" w:line="240" w:lineRule="auto"/>
              <w:jc w:val="center"/>
            </w:pPr>
            <w:proofErr w:type="spellStart"/>
            <w:r>
              <w:rPr>
                <w:rFonts w:cs="Calibri"/>
                <w:b/>
                <w:bCs/>
                <w:color w:val="002060"/>
                <w:sz w:val="20"/>
                <w:szCs w:val="20"/>
                <w:lang w:eastAsia="it-IT"/>
              </w:rPr>
              <w:t>WijEindhoven</w:t>
            </w:r>
            <w:proofErr w:type="spellEnd"/>
          </w:p>
        </w:tc>
      </w:tr>
      <w:tr w:rsidR="0057704A" w14:paraId="79161CE3"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CD9" w14:textId="77777777" w:rsidR="0057704A" w:rsidRDefault="004A66A7">
            <w:pPr>
              <w:pStyle w:val="Standard"/>
              <w:spacing w:after="0" w:line="240" w:lineRule="auto"/>
            </w:pPr>
            <w:r>
              <w:rPr>
                <w:rFonts w:cs="Calibri"/>
                <w:color w:val="5B9BD5"/>
                <w:sz w:val="20"/>
                <w:szCs w:val="20"/>
                <w:lang w:eastAsia="it-IT"/>
              </w:rPr>
              <w:t>Problemi affrontati</w:t>
            </w:r>
          </w:p>
          <w:p w14:paraId="79161CDA" w14:textId="77777777" w:rsidR="0057704A" w:rsidRDefault="004A66A7">
            <w:pPr>
              <w:pStyle w:val="Standard"/>
              <w:spacing w:after="0" w:line="240" w:lineRule="auto"/>
              <w:jc w:val="both"/>
            </w:pPr>
            <w:r>
              <w:rPr>
                <w:rFonts w:cs="Calibri"/>
                <w:sz w:val="20"/>
                <w:szCs w:val="20"/>
                <w:lang w:eastAsia="it-IT"/>
              </w:rPr>
              <w:t>Durante la crisi economica iniziata nel 2008, il sistema di welfare dei Paesi Bassi ha faticato a rispondere efficacemente alla sfida di fornire sostegno alle persone in materia di alloggio, istruzione, occupazione e mobilità. Il tasso di disoccupazione nel Paese è aumentato, ma è stata l'impennata dei livelli di senzatetto, cresciuti del 74% tra il 2009 e il 2015, a mettere a dura prova i servizi pubblici.</w:t>
            </w:r>
          </w:p>
          <w:p w14:paraId="79161CDB"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DC" w14:textId="77777777" w:rsidR="0057704A" w:rsidRDefault="004A66A7">
            <w:pPr>
              <w:pStyle w:val="Standard"/>
              <w:spacing w:after="0" w:line="240" w:lineRule="auto"/>
              <w:jc w:val="both"/>
            </w:pPr>
            <w:proofErr w:type="spellStart"/>
            <w:r>
              <w:rPr>
                <w:rFonts w:cs="Calibri"/>
                <w:sz w:val="20"/>
                <w:szCs w:val="20"/>
                <w:lang w:eastAsia="it-IT"/>
              </w:rPr>
              <w:t>WijEindhoven</w:t>
            </w:r>
            <w:proofErr w:type="spellEnd"/>
            <w:r>
              <w:rPr>
                <w:rFonts w:cs="Calibri"/>
                <w:sz w:val="20"/>
                <w:szCs w:val="20"/>
                <w:lang w:eastAsia="it-IT"/>
              </w:rPr>
              <w:t xml:space="preserve"> ("Noi Eindhoven") offre un sostegno diretto alle persone in difficoltà per colmare il vuoto lasciato dalla mancanza di capacità dei servizi sociali pubblici. È innovativo in quanto riunisce una serie di attori per fornire un sostegno altamente personalizzato ai singoli individui. Il sostegno è concepito non solo per affrontare un problema specifico, ma per mettere in atto soluzioni olistiche che portino a un cambiamento comportamentale sostenibile nell'individuo.</w:t>
            </w:r>
          </w:p>
          <w:p w14:paraId="79161CDD" w14:textId="77777777" w:rsidR="0057704A" w:rsidRDefault="004A66A7">
            <w:pPr>
              <w:pStyle w:val="Standard"/>
              <w:spacing w:after="0" w:line="240" w:lineRule="auto"/>
              <w:jc w:val="both"/>
            </w:pPr>
            <w:r>
              <w:rPr>
                <w:rFonts w:cs="Calibri"/>
                <w:sz w:val="20"/>
                <w:szCs w:val="20"/>
                <w:lang w:eastAsia="it-IT"/>
              </w:rPr>
              <w:t>Il progetto si basa su un sistema di consulenti generali, che lavorano con le persone bisognose di sostegno per formulare un piano personalizzato, aiutandole a risolvere i loro problemi. Il consulente generalista assiste il beneficiario nella definizione di obiettivi quali la ricerca di un lavoro, la pulizia della casa, la cura dei figli, la riduzione dei debiti finanziari o l'ulteriore partecipazione alle attività del quartiere. Nel definire gli obiettivi, il beneficiario e il consulente valutano anche chi è in grado di aiutarlo a raggiungerli, tra cui amici, vicini o organizzazioni locali.</w:t>
            </w:r>
          </w:p>
          <w:p w14:paraId="79161CDE" w14:textId="77777777" w:rsidR="0057704A" w:rsidRDefault="004A66A7">
            <w:pPr>
              <w:pStyle w:val="Standard"/>
              <w:spacing w:after="0" w:line="240" w:lineRule="auto"/>
              <w:jc w:val="both"/>
            </w:pPr>
            <w:r>
              <w:rPr>
                <w:rFonts w:cs="Calibri"/>
                <w:color w:val="00000A"/>
                <w:sz w:val="20"/>
                <w:szCs w:val="20"/>
                <w:lang w:eastAsia="it-IT"/>
              </w:rPr>
              <w:t xml:space="preserve">Se è necessario un maggiore sostegno, il generalista aiuta il beneficiario a definire e attuare un piano personalizzato con il supporto dei servizi offerti dal Comune. Se la situazione è particolarmente complicata e il generalista non può fornire un aiuto sufficiente, può essere coinvolto uno specialista. Alla fine del processo, </w:t>
            </w:r>
            <w:proofErr w:type="spellStart"/>
            <w:r>
              <w:rPr>
                <w:rFonts w:cs="Calibri"/>
                <w:color w:val="00000A"/>
                <w:sz w:val="20"/>
                <w:szCs w:val="20"/>
                <w:lang w:eastAsia="it-IT"/>
              </w:rPr>
              <w:t>WijEindhoven</w:t>
            </w:r>
            <w:proofErr w:type="spellEnd"/>
            <w:r>
              <w:rPr>
                <w:rFonts w:cs="Calibri"/>
                <w:color w:val="00000A"/>
                <w:sz w:val="20"/>
                <w:szCs w:val="20"/>
                <w:lang w:eastAsia="it-IT"/>
              </w:rPr>
              <w:t xml:space="preserve"> contatta il beneficiario per capire se le soluzioni che il progetto ha raccomandato e aiutato ad attuare hanno avuto successo.</w:t>
            </w:r>
          </w:p>
          <w:p w14:paraId="79161CDF"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CE0" w14:textId="77777777" w:rsidR="0057704A" w:rsidRDefault="004A66A7">
            <w:pPr>
              <w:pStyle w:val="Standard"/>
              <w:spacing w:after="0" w:line="240" w:lineRule="auto"/>
              <w:jc w:val="both"/>
            </w:pPr>
            <w:proofErr w:type="spellStart"/>
            <w:r>
              <w:rPr>
                <w:rFonts w:cs="Calibri"/>
                <w:color w:val="00000A"/>
                <w:sz w:val="20"/>
                <w:szCs w:val="20"/>
                <w:lang w:eastAsia="it-IT"/>
              </w:rPr>
              <w:t>WijEindhoven</w:t>
            </w:r>
            <w:proofErr w:type="spellEnd"/>
            <w:r>
              <w:rPr>
                <w:rFonts w:cs="Calibri"/>
                <w:color w:val="00000A"/>
                <w:sz w:val="20"/>
                <w:szCs w:val="20"/>
                <w:lang w:eastAsia="it-IT"/>
              </w:rPr>
              <w:t xml:space="preserve"> è nata come progetto, ma ora è diventata un'organizzazione a tutti gli effetti che impiega 500 persone, con circa 350 generalisti che lavorano in 10 </w:t>
            </w:r>
            <w:proofErr w:type="gramStart"/>
            <w:r>
              <w:rPr>
                <w:rFonts w:cs="Calibri"/>
                <w:color w:val="00000A"/>
                <w:sz w:val="20"/>
                <w:szCs w:val="20"/>
                <w:lang w:eastAsia="it-IT"/>
              </w:rPr>
              <w:t>team</w:t>
            </w:r>
            <w:proofErr w:type="gramEnd"/>
            <w:r>
              <w:rPr>
                <w:rFonts w:cs="Calibri"/>
                <w:color w:val="00000A"/>
                <w:sz w:val="20"/>
                <w:szCs w:val="20"/>
                <w:lang w:eastAsia="it-IT"/>
              </w:rPr>
              <w:t>. I beneficiari riferiscono di aver tratto beneficio dal sostegno dei generalisti, che li ascoltano davvero e li aiutano a superare le loro sfide il più rapidamente possibile. Secondo URBACT, il 90% delle valutazioni del supporto fornito è stato positivo. L'idea generale è che, se il sistema è ben gestito, un numero maggiore di persone è in grado di fare affidamento sulle proprie forze e sulle proprie reti, diventando più autosufficiente e meno dipendente dal sostegno specialistico.</w:t>
            </w:r>
          </w:p>
          <w:p w14:paraId="79161CE1"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CE2" w14:textId="77777777" w:rsidR="0057704A" w:rsidRDefault="004A66A7">
            <w:pPr>
              <w:pStyle w:val="Standard"/>
              <w:spacing w:after="0" w:line="240" w:lineRule="auto"/>
              <w:jc w:val="both"/>
            </w:pPr>
            <w:proofErr w:type="spellStart"/>
            <w:r>
              <w:rPr>
                <w:rFonts w:cs="Calibri"/>
                <w:color w:val="00000A"/>
                <w:sz w:val="20"/>
                <w:szCs w:val="20"/>
                <w:lang w:eastAsia="it-IT"/>
              </w:rPr>
              <w:t>WijEindhoven</w:t>
            </w:r>
            <w:proofErr w:type="spellEnd"/>
            <w:r>
              <w:rPr>
                <w:rFonts w:cs="Calibri"/>
                <w:color w:val="00000A"/>
                <w:sz w:val="20"/>
                <w:szCs w:val="20"/>
                <w:lang w:eastAsia="it-IT"/>
              </w:rPr>
              <w:t xml:space="preserve"> ha avuto particolare successo nella città di Eindhoven perché il livello di impegno della comunità nei Paesi Bassi è più alto rispetto alla maggior parte dei Paesi europei. Data la necessità di reclutare personale generico e di creare una rete di supporto per i beneficiari, sono necessari alti livelli di coinvolgimento della comunità. Questa sarebbe una condizione fondamentale per il successo del trasferimento in un altro contesto.</w:t>
            </w:r>
          </w:p>
        </w:tc>
      </w:tr>
      <w:tr w:rsidR="0057704A" w14:paraId="79161CE5"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00B050"/>
            <w:tcMar>
              <w:top w:w="0" w:type="dxa"/>
              <w:left w:w="108" w:type="dxa"/>
              <w:bottom w:w="0" w:type="dxa"/>
              <w:right w:w="108" w:type="dxa"/>
            </w:tcMar>
          </w:tcPr>
          <w:p w14:paraId="79161CE4" w14:textId="77777777" w:rsidR="0057704A" w:rsidRDefault="004A66A7">
            <w:pPr>
              <w:pStyle w:val="Standard"/>
              <w:spacing w:after="0" w:line="240" w:lineRule="auto"/>
              <w:jc w:val="center"/>
            </w:pPr>
            <w:r>
              <w:rPr>
                <w:rFonts w:cs="Calibri"/>
                <w:b/>
                <w:bCs/>
                <w:color w:val="002060"/>
                <w:sz w:val="20"/>
                <w:szCs w:val="20"/>
                <w:lang w:eastAsia="it-IT"/>
              </w:rPr>
              <w:t>5. Sviluppo Locale partecipativo</w:t>
            </w:r>
          </w:p>
        </w:tc>
      </w:tr>
      <w:tr w:rsidR="0057704A" w14:paraId="79161CE8"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92D050"/>
            <w:tcMar>
              <w:top w:w="0" w:type="dxa"/>
              <w:left w:w="108" w:type="dxa"/>
              <w:bottom w:w="0" w:type="dxa"/>
              <w:right w:w="108" w:type="dxa"/>
            </w:tcMar>
          </w:tcPr>
          <w:p w14:paraId="79161CE6" w14:textId="77777777" w:rsidR="0057704A" w:rsidRDefault="004A66A7">
            <w:pPr>
              <w:pStyle w:val="Standard"/>
              <w:spacing w:after="0" w:line="240" w:lineRule="auto"/>
              <w:jc w:val="center"/>
            </w:pPr>
            <w:r>
              <w:rPr>
                <w:rFonts w:cs="Calibri"/>
                <w:b/>
                <w:bCs/>
                <w:caps/>
                <w:color w:val="002060"/>
                <w:sz w:val="20"/>
                <w:szCs w:val="20"/>
                <w:lang w:eastAsia="it-IT"/>
              </w:rPr>
              <w:t>Polonia</w:t>
            </w:r>
          </w:p>
          <w:p w14:paraId="79161CE7" w14:textId="77777777" w:rsidR="0057704A" w:rsidRDefault="004A66A7">
            <w:pPr>
              <w:pStyle w:val="Standard"/>
              <w:spacing w:after="0" w:line="240" w:lineRule="auto"/>
              <w:jc w:val="center"/>
            </w:pPr>
            <w:r>
              <w:rPr>
                <w:rFonts w:cs="Calibri"/>
                <w:b/>
                <w:bCs/>
                <w:color w:val="002060"/>
                <w:sz w:val="20"/>
                <w:szCs w:val="20"/>
                <w:lang w:eastAsia="it-IT"/>
              </w:rPr>
              <w:t xml:space="preserve">Sviluppo locale di tipo partecipativo in </w:t>
            </w:r>
            <w:proofErr w:type="spellStart"/>
            <w:r>
              <w:rPr>
                <w:rFonts w:cs="Calibri"/>
                <w:b/>
                <w:bCs/>
                <w:color w:val="002060"/>
                <w:sz w:val="20"/>
                <w:szCs w:val="20"/>
                <w:lang w:eastAsia="it-IT"/>
              </w:rPr>
              <w:t>Kujawsko-Pomorskie</w:t>
            </w:r>
            <w:proofErr w:type="spellEnd"/>
          </w:p>
        </w:tc>
      </w:tr>
      <w:tr w:rsidR="0057704A" w14:paraId="79161CF4"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CE9" w14:textId="77777777" w:rsidR="0057704A" w:rsidRDefault="004A66A7">
            <w:pPr>
              <w:pStyle w:val="Standard"/>
              <w:spacing w:after="0" w:line="240" w:lineRule="auto"/>
              <w:jc w:val="both"/>
            </w:pPr>
            <w:r>
              <w:rPr>
                <w:rFonts w:cs="Calibri"/>
                <w:color w:val="5B9BD5"/>
                <w:sz w:val="20"/>
                <w:szCs w:val="20"/>
                <w:lang w:eastAsia="it-IT"/>
              </w:rPr>
              <w:t>Problemi affrontati</w:t>
            </w:r>
          </w:p>
          <w:p w14:paraId="79161CEA" w14:textId="77777777" w:rsidR="0057704A" w:rsidRDefault="004A66A7">
            <w:pPr>
              <w:pStyle w:val="Standard"/>
              <w:spacing w:after="0" w:line="240" w:lineRule="auto"/>
              <w:jc w:val="both"/>
            </w:pPr>
            <w:r>
              <w:rPr>
                <w:rFonts w:cs="Calibri"/>
                <w:color w:val="00000A"/>
                <w:sz w:val="20"/>
                <w:szCs w:val="20"/>
                <w:lang w:eastAsia="it-IT"/>
              </w:rPr>
              <w:t>Le soluzioni per sostenere i gruppi vulnerabili (donne, disoccupate di lungo periodo, popolazione anziana, persone sotto la soglia di povertà) sono state spesso sviluppate dall'alto verso il basso, senza coinvolgere gli stessi gruppi target o gli attori locali. Questo approccio non riesce a prendere in considerazione le loro esigenze e a promuovere l'appropriazione e la sostenibilità delle soluzioni.</w:t>
            </w:r>
          </w:p>
          <w:p w14:paraId="79161CEB"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CEC" w14:textId="77777777" w:rsidR="0057704A" w:rsidRDefault="004A66A7">
            <w:pPr>
              <w:pStyle w:val="Standard"/>
              <w:spacing w:after="0" w:line="240" w:lineRule="auto"/>
              <w:jc w:val="both"/>
            </w:pPr>
            <w:r>
              <w:rPr>
                <w:rFonts w:cs="Calibri"/>
                <w:sz w:val="20"/>
                <w:szCs w:val="20"/>
                <w:lang w:eastAsia="it-IT"/>
              </w:rPr>
              <w:t>Nel 2016, l'Autorità di gestione del FSE ha sviluppato una strategia di sviluppo locale partecipativo (CLLD) per dare agli attori locali la possibilità di utilizzare i programmi regionali di tutti i fondi SIE per affrontare le questioni sociali in modo bottom-up. La strategia CLLD, che mette a disposizione 36,5 milioni di euro provenienti dal FSE, dal FEASR e dal FEAMP, mira a sviluppare le infrastrutture locali e a facilitare l'integrazione nel mondo del lavoro e l'inclusione sociale delle persone più svantaggiate della regione.</w:t>
            </w:r>
          </w:p>
          <w:p w14:paraId="79161CED" w14:textId="78C75DA2" w:rsidR="0057704A" w:rsidRDefault="004A66A7">
            <w:pPr>
              <w:pStyle w:val="Standard"/>
              <w:spacing w:after="0" w:line="240" w:lineRule="auto"/>
              <w:jc w:val="both"/>
            </w:pPr>
            <w:r>
              <w:rPr>
                <w:rFonts w:cs="Calibri"/>
                <w:color w:val="00000A"/>
                <w:sz w:val="20"/>
                <w:szCs w:val="20"/>
                <w:lang w:eastAsia="it-IT"/>
              </w:rPr>
              <w:lastRenderedPageBreak/>
              <w:t xml:space="preserve">Per attuare la strategia, nella regione di </w:t>
            </w:r>
            <w:proofErr w:type="spellStart"/>
            <w:r>
              <w:rPr>
                <w:rFonts w:cs="Calibri"/>
                <w:color w:val="00000A"/>
                <w:sz w:val="20"/>
                <w:szCs w:val="20"/>
                <w:lang w:eastAsia="it-IT"/>
              </w:rPr>
              <w:t>Kujawsko-Pomorskie</w:t>
            </w:r>
            <w:proofErr w:type="spellEnd"/>
            <w:r>
              <w:rPr>
                <w:rFonts w:cs="Calibri"/>
                <w:color w:val="00000A"/>
                <w:sz w:val="20"/>
                <w:szCs w:val="20"/>
                <w:lang w:eastAsia="it-IT"/>
              </w:rPr>
              <w:t xml:space="preserve"> sono stati istituiti 28 gruppi di azione locale (GAL). I GAL sono composti da rappresentanti della comunità, organizzazioni di volontariato, imprese locali e rappresentanti del settore pubblico e sono incaricati dell’elaborazione </w:t>
            </w:r>
            <w:r w:rsidR="006B6AF7">
              <w:rPr>
                <w:rFonts w:cs="Calibri"/>
                <w:color w:val="00000A"/>
                <w:sz w:val="20"/>
                <w:szCs w:val="20"/>
                <w:lang w:eastAsia="it-IT"/>
              </w:rPr>
              <w:t>di inviti</w:t>
            </w:r>
            <w:r>
              <w:rPr>
                <w:rFonts w:cs="Calibri"/>
                <w:color w:val="00000A"/>
                <w:sz w:val="20"/>
                <w:szCs w:val="20"/>
                <w:lang w:eastAsia="it-IT"/>
              </w:rPr>
              <w:t xml:space="preserve"> a presentare proposte sulla base di valutazioni dei bisogni locali. Gli stessi selezionano, inoltre, i progetti più pertinenti e fattibili e incoraggiano e sostengono i beneficiari a presentare proposte a sostegno della strategia.</w:t>
            </w:r>
          </w:p>
          <w:p w14:paraId="79161CEE" w14:textId="77777777" w:rsidR="0057704A" w:rsidRDefault="004A66A7">
            <w:pPr>
              <w:pStyle w:val="Standard"/>
              <w:spacing w:after="0" w:line="240" w:lineRule="auto"/>
              <w:jc w:val="both"/>
            </w:pPr>
            <w:r>
              <w:rPr>
                <w:rFonts w:cs="Calibri"/>
                <w:color w:val="00000A"/>
                <w:sz w:val="20"/>
                <w:szCs w:val="20"/>
                <w:lang w:eastAsia="it-IT"/>
              </w:rPr>
              <w:t xml:space="preserve">La strategia incoraggia la collaborazione tra i GAL nell'utilizzo dei contributi dei diversi fondi SIE all'interno di aree della regione che si trovano ad affrontare sfide simili. Ad esempio, nelle </w:t>
            </w:r>
            <w:proofErr w:type="spellStart"/>
            <w:r>
              <w:rPr>
                <w:rFonts w:cs="Calibri"/>
                <w:color w:val="00000A"/>
                <w:sz w:val="20"/>
                <w:szCs w:val="20"/>
                <w:lang w:eastAsia="it-IT"/>
              </w:rPr>
              <w:t>sottoregioni</w:t>
            </w:r>
            <w:proofErr w:type="spellEnd"/>
            <w:r>
              <w:rPr>
                <w:rFonts w:cs="Calibri"/>
                <w:color w:val="00000A"/>
                <w:sz w:val="20"/>
                <w:szCs w:val="20"/>
                <w:lang w:eastAsia="it-IT"/>
              </w:rPr>
              <w:t xml:space="preserve"> di </w:t>
            </w:r>
            <w:proofErr w:type="spellStart"/>
            <w:r>
              <w:rPr>
                <w:rFonts w:cs="Calibri"/>
                <w:color w:val="00000A"/>
                <w:sz w:val="20"/>
                <w:szCs w:val="20"/>
                <w:lang w:eastAsia="it-IT"/>
              </w:rPr>
              <w:t>Krajna</w:t>
            </w:r>
            <w:proofErr w:type="spellEnd"/>
            <w:r>
              <w:rPr>
                <w:rFonts w:cs="Calibri"/>
                <w:color w:val="00000A"/>
                <w:sz w:val="20"/>
                <w:szCs w:val="20"/>
                <w:lang w:eastAsia="it-IT"/>
              </w:rPr>
              <w:t xml:space="preserve"> e </w:t>
            </w:r>
            <w:proofErr w:type="spellStart"/>
            <w:r>
              <w:rPr>
                <w:rFonts w:cs="Calibri"/>
                <w:color w:val="00000A"/>
                <w:sz w:val="20"/>
                <w:szCs w:val="20"/>
                <w:lang w:eastAsia="it-IT"/>
              </w:rPr>
              <w:t>Paluki</w:t>
            </w:r>
            <w:proofErr w:type="spellEnd"/>
            <w:r>
              <w:rPr>
                <w:rFonts w:cs="Calibri"/>
                <w:color w:val="00000A"/>
                <w:sz w:val="20"/>
                <w:szCs w:val="20"/>
                <w:lang w:eastAsia="it-IT"/>
              </w:rPr>
              <w:t xml:space="preserve"> si è sviluppato un partenariato che utilizza fondi combinati del FSE, del FESR e del FEASR per affrontare le sfide dell'invecchiamento della popolazione, dei bassi livelli di qualificazione professionale e delle scarse infrastrutture sociali e del lavoro.</w:t>
            </w:r>
          </w:p>
          <w:p w14:paraId="79161CEF"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CF0" w14:textId="664966EF" w:rsidR="0057704A" w:rsidRDefault="004A66A7">
            <w:pPr>
              <w:pStyle w:val="Standard"/>
              <w:spacing w:after="0" w:line="240" w:lineRule="auto"/>
              <w:jc w:val="both"/>
            </w:pPr>
            <w:r>
              <w:rPr>
                <w:rFonts w:cs="Calibri"/>
                <w:sz w:val="20"/>
                <w:szCs w:val="20"/>
                <w:lang w:eastAsia="it-IT"/>
              </w:rPr>
              <w:t>Dal 2016, sono stati finanziati 327 progetti attraverso la strategia CLLD. Ad esempio, il progetto Persone con disabilità - Movimento partecipativo consapevole</w:t>
            </w:r>
            <w:r w:rsidR="006B6AF7">
              <w:rPr>
                <w:rFonts w:cs="Calibri"/>
                <w:sz w:val="20"/>
                <w:szCs w:val="20"/>
                <w:lang w:eastAsia="it-IT"/>
              </w:rPr>
              <w:t>- si</w:t>
            </w:r>
            <w:r>
              <w:rPr>
                <w:rFonts w:cs="Calibri"/>
                <w:sz w:val="20"/>
                <w:szCs w:val="20"/>
                <w:lang w:eastAsia="it-IT"/>
              </w:rPr>
              <w:t xml:space="preserve"> è rivolto a persone di tutte le età e con ogni tipo di disabilità. Il progetto ha offerto ai partecipanti l'opportunità di partecipare a sessioni di esercizio fisico, di ricevere supporto psicologico e di frequentare laboratori e lezioni educative su diversi argomenti (lezioni di teatro, corsi di guida, ecc.). Un progetto simile, rivolto direttamente ai giovani con disabilità, è stato attuato anche nel comune di </w:t>
            </w:r>
            <w:proofErr w:type="spellStart"/>
            <w:r>
              <w:rPr>
                <w:rFonts w:cs="Calibri"/>
                <w:sz w:val="20"/>
                <w:szCs w:val="20"/>
                <w:lang w:eastAsia="it-IT"/>
              </w:rPr>
              <w:t>Aleksandrów</w:t>
            </w:r>
            <w:proofErr w:type="spellEnd"/>
            <w:r>
              <w:rPr>
                <w:rFonts w:cs="Calibri"/>
                <w:sz w:val="20"/>
                <w:szCs w:val="20"/>
                <w:lang w:eastAsia="it-IT"/>
              </w:rPr>
              <w:t xml:space="preserve"> </w:t>
            </w:r>
            <w:proofErr w:type="spellStart"/>
            <w:r>
              <w:rPr>
                <w:rFonts w:cs="Calibri"/>
                <w:sz w:val="20"/>
                <w:szCs w:val="20"/>
                <w:lang w:eastAsia="it-IT"/>
              </w:rPr>
              <w:t>Kujawski</w:t>
            </w:r>
            <w:proofErr w:type="spellEnd"/>
            <w:r>
              <w:rPr>
                <w:rFonts w:cs="Calibri"/>
                <w:sz w:val="20"/>
                <w:szCs w:val="20"/>
                <w:lang w:eastAsia="it-IT"/>
              </w:rPr>
              <w:t>.</w:t>
            </w:r>
          </w:p>
          <w:p w14:paraId="79161CF1" w14:textId="77777777" w:rsidR="0057704A" w:rsidRDefault="004A66A7">
            <w:pPr>
              <w:pStyle w:val="Standard"/>
              <w:spacing w:after="0" w:line="240" w:lineRule="auto"/>
              <w:jc w:val="both"/>
            </w:pPr>
            <w:r>
              <w:rPr>
                <w:rFonts w:cs="Calibri"/>
                <w:color w:val="00000A"/>
                <w:sz w:val="20"/>
                <w:szCs w:val="20"/>
                <w:lang w:eastAsia="it-IT"/>
              </w:rPr>
              <w:t>Uno dei punti di forza della strategia riguarda l'approccio dal basso verso l'alto per affrontare i bisogni di una comunità. I gruppi di azione locale sono basati su regioni geografiche e sono in grado di identificare rapidamente le questioni sociali e lavorative più urgenti, nonché di collaborare con gli attori locali per fornire soluzioni.</w:t>
            </w:r>
          </w:p>
          <w:p w14:paraId="79161CF2"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CF3" w14:textId="77777777" w:rsidR="0057704A" w:rsidRDefault="004A66A7">
            <w:pPr>
              <w:pStyle w:val="Standard"/>
              <w:spacing w:after="0" w:line="240" w:lineRule="auto"/>
              <w:jc w:val="both"/>
            </w:pPr>
            <w:r>
              <w:rPr>
                <w:rFonts w:cs="Calibri"/>
                <w:color w:val="00000A"/>
                <w:sz w:val="20"/>
                <w:szCs w:val="20"/>
                <w:lang w:eastAsia="it-IT"/>
              </w:rPr>
              <w:t xml:space="preserve">Il focus locale della strategia CLLD si presta a essere trasferito a un'ampia gamma di sfide sociali in contesti diversi. Negli ultimi anni, diverse altre regioni polacche hanno organizzato visite sul campo nella regione di </w:t>
            </w:r>
            <w:proofErr w:type="spellStart"/>
            <w:r>
              <w:rPr>
                <w:rFonts w:cs="Calibri"/>
                <w:color w:val="00000A"/>
                <w:sz w:val="20"/>
                <w:szCs w:val="20"/>
                <w:lang w:eastAsia="it-IT"/>
              </w:rPr>
              <w:t>Kujawsko-Pomorskie</w:t>
            </w:r>
            <w:proofErr w:type="spellEnd"/>
            <w:r>
              <w:rPr>
                <w:rFonts w:cs="Calibri"/>
                <w:color w:val="00000A"/>
                <w:sz w:val="20"/>
                <w:szCs w:val="20"/>
                <w:lang w:eastAsia="it-IT"/>
              </w:rPr>
              <w:t xml:space="preserve"> per valutare come implementare questa strategia nel prossimo periodo di programmazione. La strategia ha sostenuto molti progetti che hanno portato soluzioni efficaci ai problemi sociali locali e sarà portata avanti anche nel prossimo periodo di programmazione. Per ampliare la portata delle azioni e coprire un maggior numero di sfide sociali, l'autorità regionale sta anche valutando come fornire maggiore flessibilità e autonomia ai gruppi di azione locale.</w:t>
            </w:r>
          </w:p>
        </w:tc>
      </w:tr>
      <w:tr w:rsidR="0057704A" w14:paraId="79161CF6"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CCFF33"/>
            <w:tcMar>
              <w:top w:w="0" w:type="dxa"/>
              <w:left w:w="108" w:type="dxa"/>
              <w:bottom w:w="0" w:type="dxa"/>
              <w:right w:w="108" w:type="dxa"/>
            </w:tcMar>
          </w:tcPr>
          <w:p w14:paraId="79161CF5" w14:textId="77777777" w:rsidR="0057704A" w:rsidRDefault="004A66A7">
            <w:pPr>
              <w:pStyle w:val="Standard"/>
              <w:spacing w:after="0" w:line="240" w:lineRule="auto"/>
              <w:jc w:val="center"/>
            </w:pPr>
            <w:r>
              <w:rPr>
                <w:rFonts w:ascii="Calibri Light" w:hAnsi="Calibri Light" w:cs="Calibri"/>
                <w:b/>
                <w:bCs/>
                <w:color w:val="00000A"/>
                <w:sz w:val="20"/>
                <w:szCs w:val="20"/>
                <w:lang w:eastAsia="it-IT"/>
              </w:rPr>
              <w:lastRenderedPageBreak/>
              <w:t xml:space="preserve">Inclusione Attiva </w:t>
            </w:r>
            <w:r>
              <w:rPr>
                <w:rFonts w:ascii="Calibri Light" w:hAnsi="Calibri Light" w:cs="Calibri"/>
                <w:color w:val="00000A"/>
                <w:sz w:val="20"/>
                <w:szCs w:val="20"/>
                <w:lang w:eastAsia="it-IT"/>
              </w:rPr>
              <w:t>in una logica di comunità</w:t>
            </w:r>
          </w:p>
        </w:tc>
      </w:tr>
      <w:tr w:rsidR="0057704A" w14:paraId="79161CF9"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CCFF33"/>
            <w:tcMar>
              <w:top w:w="0" w:type="dxa"/>
              <w:left w:w="108" w:type="dxa"/>
              <w:bottom w:w="0" w:type="dxa"/>
              <w:right w:w="108" w:type="dxa"/>
            </w:tcMar>
          </w:tcPr>
          <w:p w14:paraId="79161CF7" w14:textId="77777777" w:rsidR="0057704A" w:rsidRDefault="004A66A7">
            <w:pPr>
              <w:pStyle w:val="Standard"/>
              <w:spacing w:after="0" w:line="240" w:lineRule="auto"/>
              <w:jc w:val="center"/>
            </w:pPr>
            <w:r>
              <w:rPr>
                <w:rFonts w:cs="Calibri"/>
                <w:b/>
                <w:bCs/>
                <w:color w:val="00000A"/>
                <w:sz w:val="20"/>
                <w:szCs w:val="20"/>
                <w:lang w:eastAsia="it-IT"/>
              </w:rPr>
              <w:t>PORTOGALLO</w:t>
            </w:r>
          </w:p>
          <w:p w14:paraId="79161CF8" w14:textId="77777777" w:rsidR="0057704A" w:rsidRDefault="004A66A7">
            <w:pPr>
              <w:pStyle w:val="Standard"/>
              <w:spacing w:after="0" w:line="240" w:lineRule="auto"/>
              <w:jc w:val="center"/>
            </w:pPr>
            <w:r>
              <w:rPr>
                <w:rFonts w:cs="Calibri"/>
                <w:b/>
                <w:bCs/>
                <w:color w:val="00000A"/>
                <w:sz w:val="20"/>
                <w:szCs w:val="20"/>
                <w:lang w:eastAsia="it-IT"/>
              </w:rPr>
              <w:t>UDREAM -</w:t>
            </w:r>
          </w:p>
        </w:tc>
      </w:tr>
      <w:tr w:rsidR="0057704A" w14:paraId="79161CFE"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CFA" w14:textId="305A9063" w:rsidR="0057704A" w:rsidRPr="00A83B7A" w:rsidRDefault="004A66A7" w:rsidP="00A83B7A">
            <w:pPr>
              <w:pStyle w:val="Standard"/>
              <w:spacing w:after="0"/>
              <w:jc w:val="both"/>
              <w:rPr>
                <w:rFonts w:cs="Calibri"/>
              </w:rPr>
            </w:pPr>
            <w:r w:rsidRPr="00A83B7A">
              <w:rPr>
                <w:rFonts w:cs="Calibri"/>
                <w:color w:val="5B9BD5"/>
                <w:sz w:val="20"/>
                <w:szCs w:val="20"/>
              </w:rPr>
              <w:t>Problemi affrontati</w:t>
            </w:r>
            <w:r w:rsidRPr="00A83B7A">
              <w:rPr>
                <w:rFonts w:cs="Calibri"/>
                <w:sz w:val="20"/>
                <w:szCs w:val="20"/>
              </w:rPr>
              <w:t xml:space="preserve"> Il progetto </w:t>
            </w:r>
            <w:r w:rsidR="00A83B7A" w:rsidRPr="00A83B7A">
              <w:rPr>
                <w:rFonts w:cs="Calibri"/>
                <w:sz w:val="20"/>
                <w:szCs w:val="20"/>
              </w:rPr>
              <w:t>U. DREAM</w:t>
            </w:r>
            <w:r w:rsidRPr="00A83B7A">
              <w:rPr>
                <w:rFonts w:cs="Calibri"/>
                <w:sz w:val="20"/>
                <w:szCs w:val="20"/>
              </w:rPr>
              <w:t xml:space="preserve"> è nato dalla percezione della disconnessione tra i giovani e le loro comunità in Portogallo: il tasso di volontariato tra i giovani era uno dei più bassi in Europa. Questi bassi livelli di coinvolgimento della comunità hanno rafforzato la mancanza di comprensione dei problemi sociali, con il sistema di istruzione formale che offre poche opportunità per sviluppare queste connessioni o sviluppare capacità di leadership </w:t>
            </w:r>
            <w:r w:rsidR="00A83B7A" w:rsidRPr="00A83B7A">
              <w:rPr>
                <w:rFonts w:cs="Calibri"/>
                <w:sz w:val="20"/>
                <w:szCs w:val="20"/>
              </w:rPr>
              <w:t>sociale.</w:t>
            </w:r>
          </w:p>
          <w:p w14:paraId="79161CFB" w14:textId="5543E3D0" w:rsidR="0057704A" w:rsidRPr="00A83B7A" w:rsidRDefault="004A66A7" w:rsidP="00A83B7A">
            <w:pPr>
              <w:pStyle w:val="NormaleWeb"/>
              <w:spacing w:before="0" w:after="0"/>
              <w:jc w:val="both"/>
              <w:rPr>
                <w:rFonts w:ascii="Calibri" w:hAnsi="Calibri" w:cs="Calibri"/>
              </w:rPr>
            </w:pPr>
            <w:r w:rsidRPr="00A83B7A">
              <w:rPr>
                <w:rFonts w:ascii="Calibri" w:hAnsi="Calibri" w:cs="Calibri"/>
                <w:color w:val="5B9BD5"/>
                <w:sz w:val="20"/>
                <w:szCs w:val="20"/>
              </w:rPr>
              <w:t>Soluzione innovativa</w:t>
            </w:r>
            <w:r w:rsidRPr="00A83B7A">
              <w:rPr>
                <w:rFonts w:ascii="Calibri" w:hAnsi="Calibri" w:cs="Calibri"/>
                <w:color w:val="00000A"/>
                <w:sz w:val="20"/>
                <w:szCs w:val="20"/>
              </w:rPr>
              <w:t xml:space="preserve"> </w:t>
            </w:r>
            <w:r w:rsidR="00A83B7A" w:rsidRPr="00A83B7A">
              <w:rPr>
                <w:rFonts w:ascii="Calibri" w:hAnsi="Calibri" w:cs="Calibri"/>
                <w:color w:val="00000A"/>
                <w:sz w:val="20"/>
                <w:szCs w:val="20"/>
              </w:rPr>
              <w:t>U. DREAM</w:t>
            </w:r>
            <w:r w:rsidRPr="00A83B7A">
              <w:rPr>
                <w:rFonts w:ascii="Calibri" w:hAnsi="Calibri" w:cs="Calibri"/>
                <w:color w:val="00000A"/>
                <w:sz w:val="20"/>
                <w:szCs w:val="20"/>
              </w:rPr>
              <w:t xml:space="preserve"> Portugal è un progetto educativo non formale creato da studenti universitari per altri studenti, con l’obiettivo di </w:t>
            </w:r>
            <w:proofErr w:type="spellStart"/>
            <w:r w:rsidRPr="00A83B7A">
              <w:rPr>
                <w:rFonts w:ascii="Calibri" w:hAnsi="Calibri" w:cs="Calibri"/>
                <w:color w:val="00000A"/>
                <w:sz w:val="20"/>
                <w:szCs w:val="20"/>
              </w:rPr>
              <w:t>di</w:t>
            </w:r>
            <w:proofErr w:type="spellEnd"/>
            <w:r w:rsidRPr="00A83B7A">
              <w:rPr>
                <w:rFonts w:ascii="Calibri" w:hAnsi="Calibri" w:cs="Calibri"/>
                <w:color w:val="00000A"/>
                <w:sz w:val="20"/>
                <w:szCs w:val="20"/>
              </w:rPr>
              <w:t xml:space="preserve"> avvicinare i giovani, i futuri genitori e i professionisti ai problemi delle loro comunità per renderli responsabili e aiutarli a scoprire le loro passioni e abilità in vista di lavorare per trasformare le loro comunità più avanti nella vita. </w:t>
            </w:r>
            <w:r w:rsidR="00A83B7A" w:rsidRPr="00A83B7A">
              <w:rPr>
                <w:rFonts w:ascii="Calibri" w:hAnsi="Calibri" w:cs="Calibri"/>
                <w:color w:val="00000A"/>
                <w:sz w:val="20"/>
                <w:szCs w:val="20"/>
              </w:rPr>
              <w:t>U. DREAM</w:t>
            </w:r>
            <w:r w:rsidRPr="00A83B7A">
              <w:rPr>
                <w:rFonts w:ascii="Calibri" w:hAnsi="Calibri" w:cs="Calibri"/>
                <w:color w:val="00000A"/>
                <w:sz w:val="20"/>
                <w:szCs w:val="20"/>
              </w:rPr>
              <w:t xml:space="preserve"> </w:t>
            </w:r>
            <w:r w:rsidR="00A83B7A" w:rsidRPr="00A83B7A">
              <w:rPr>
                <w:rFonts w:ascii="Calibri" w:hAnsi="Calibri" w:cs="Calibri"/>
                <w:color w:val="00000A"/>
                <w:sz w:val="20"/>
                <w:szCs w:val="20"/>
              </w:rPr>
              <w:t>è stato fondato</w:t>
            </w:r>
            <w:r w:rsidRPr="00A83B7A">
              <w:rPr>
                <w:rFonts w:ascii="Calibri" w:hAnsi="Calibri" w:cs="Calibri"/>
                <w:color w:val="00000A"/>
                <w:sz w:val="20"/>
                <w:szCs w:val="20"/>
              </w:rPr>
              <w:t xml:space="preserve"> dagli studenti della Facoltà di Economia dell'Università di Porto nell'agosto 2013, creando la prima Junior Social Company del paese. Il programma ha cercato di dimostrare che i progetti sociali possono essere creati con strutture simili a quelle delle aziende. Man mano che il progetto cresceva, si è spostato verso un miglioramento informale della leadership sociale per gli studenti universitari. Ha inoltre ampliato la sua attenzione da bambini e famiglie a case di cura, case per bambini e giovani, scuole secondarie, ecc.</w:t>
            </w:r>
          </w:p>
          <w:p w14:paraId="79161CFC" w14:textId="57CEE15E" w:rsidR="0057704A" w:rsidRPr="00A83B7A" w:rsidRDefault="004A66A7">
            <w:pPr>
              <w:pStyle w:val="NormaleWeb"/>
              <w:spacing w:before="0" w:after="0"/>
              <w:jc w:val="both"/>
              <w:rPr>
                <w:rFonts w:ascii="Calibri" w:hAnsi="Calibri" w:cs="Calibri"/>
              </w:rPr>
            </w:pPr>
            <w:r w:rsidRPr="00A83B7A">
              <w:rPr>
                <w:rFonts w:ascii="Calibri" w:hAnsi="Calibri" w:cs="Calibri"/>
                <w:color w:val="2E74B5"/>
                <w:sz w:val="20"/>
                <w:szCs w:val="20"/>
              </w:rPr>
              <w:t xml:space="preserve">Principali risultati e </w:t>
            </w:r>
            <w:r w:rsidR="00A83B7A" w:rsidRPr="00A83B7A">
              <w:rPr>
                <w:rFonts w:ascii="Calibri" w:hAnsi="Calibri" w:cs="Calibri"/>
                <w:color w:val="2E74B5"/>
                <w:sz w:val="20"/>
                <w:szCs w:val="20"/>
              </w:rPr>
              <w:t>benefici.</w:t>
            </w:r>
            <w:r w:rsidRPr="00A83B7A">
              <w:rPr>
                <w:rFonts w:ascii="Calibri" w:hAnsi="Calibri" w:cs="Calibri"/>
                <w:sz w:val="20"/>
                <w:szCs w:val="20"/>
              </w:rPr>
              <w:t xml:space="preserve"> </w:t>
            </w:r>
            <w:r w:rsidRPr="00A83B7A">
              <w:rPr>
                <w:rFonts w:ascii="Calibri" w:hAnsi="Calibri" w:cs="Calibri"/>
                <w:color w:val="00000A"/>
                <w:sz w:val="20"/>
                <w:szCs w:val="20"/>
              </w:rPr>
              <w:t>Il progetto fa parte di un più ampio studio dell'Organizzazione per la cooperazione e lo sviluppo economico (OCSE) per valutare le condizioni e le pratiche che facilitano lo sviluppo delle competenze sociali ed emotive nei giovani, con i primi risultati previsti per il 2022. Al termine del programma, gli studenti hanno mostrato un maggiore coinvolgimento in campagne/iniziative sociali, livelli più elevati di collaborazione nelle istituzioni locali, maggiore innovazione nei progetti orientati all'impatto personale/di gruppo e hanno influenzato familiari e amici stretti a partecipare a iniziative sociali. I risultati provvisori dei focus group hanno mostrato che la cittadinanza dei partecipanti era diventata interconnessa con obiettivi accademici e professionali ed erano più motivati ​​verso l'impatto sociale e problemi globali. I risultati hanno anche mostrato migliori capacità di comunicazione con i giovani, attraverso diversi media e un maggiore senso di agenzia nei confronti della comunità.</w:t>
            </w:r>
          </w:p>
          <w:p w14:paraId="79161CFD" w14:textId="550AD72E" w:rsidR="0057704A" w:rsidRDefault="004A66A7">
            <w:pPr>
              <w:pStyle w:val="NormaleWeb"/>
              <w:spacing w:before="0" w:after="0"/>
              <w:jc w:val="both"/>
            </w:pPr>
            <w:r w:rsidRPr="00A83B7A">
              <w:rPr>
                <w:rFonts w:ascii="Calibri" w:hAnsi="Calibri" w:cs="Calibri"/>
                <w:color w:val="2E74B5"/>
                <w:sz w:val="20"/>
                <w:szCs w:val="20"/>
              </w:rPr>
              <w:t>Potenziale di mainstreaming</w:t>
            </w:r>
            <w:r w:rsidRPr="00A83B7A">
              <w:rPr>
                <w:rFonts w:ascii="Calibri" w:hAnsi="Calibri" w:cs="Calibri"/>
                <w:sz w:val="20"/>
                <w:szCs w:val="20"/>
              </w:rPr>
              <w:t xml:space="preserve"> Diversi aspetti del progetto </w:t>
            </w:r>
            <w:r w:rsidR="00A83B7A" w:rsidRPr="00A83B7A">
              <w:rPr>
                <w:rFonts w:ascii="Calibri" w:hAnsi="Calibri" w:cs="Calibri"/>
                <w:sz w:val="20"/>
                <w:szCs w:val="20"/>
              </w:rPr>
              <w:t>U. DREAM</w:t>
            </w:r>
            <w:r w:rsidRPr="00A83B7A">
              <w:rPr>
                <w:rFonts w:ascii="Calibri" w:hAnsi="Calibri" w:cs="Calibri"/>
                <w:sz w:val="20"/>
                <w:szCs w:val="20"/>
              </w:rPr>
              <w:t xml:space="preserve"> sono trasferibili. La sua metodologia si concentra sull'impatto sociale dei partecipanti al programma e il modello concettuale guida lo sviluppo delle dimensioni psicologiche della leadership comunitaria. Le caratteristiche di successo del progetto includono metodologie basate sul progetto, supporto personalizzato da parte del formatore, partecipazione attiva nelle organizzazioni locali, strategia equilibrata di riflessione-azione e riconoscimento delle competenze acquisite. </w:t>
            </w:r>
            <w:r w:rsidR="00F832C2" w:rsidRPr="00A83B7A">
              <w:rPr>
                <w:rFonts w:ascii="Calibri" w:hAnsi="Calibri" w:cs="Calibri"/>
                <w:sz w:val="20"/>
                <w:szCs w:val="20"/>
              </w:rPr>
              <w:t>Inoltre,</w:t>
            </w:r>
            <w:r w:rsidRPr="00A83B7A">
              <w:rPr>
                <w:rFonts w:ascii="Calibri" w:hAnsi="Calibri" w:cs="Calibri"/>
                <w:sz w:val="20"/>
                <w:szCs w:val="20"/>
              </w:rPr>
              <w:t xml:space="preserve"> con la sua collezione </w:t>
            </w:r>
            <w:r w:rsidRPr="00F51AD9">
              <w:rPr>
                <w:rFonts w:asciiTheme="minorHAnsi" w:hAnsiTheme="minorHAnsi" w:cstheme="minorHAnsi"/>
                <w:sz w:val="20"/>
                <w:szCs w:val="20"/>
              </w:rPr>
              <w:t xml:space="preserve">digitali e </w:t>
            </w:r>
            <w:proofErr w:type="gramStart"/>
            <w:r w:rsidRPr="00F51AD9">
              <w:rPr>
                <w:rFonts w:asciiTheme="minorHAnsi" w:hAnsiTheme="minorHAnsi" w:cstheme="minorHAnsi"/>
                <w:sz w:val="20"/>
                <w:szCs w:val="20"/>
              </w:rPr>
              <w:t>non</w:t>
            </w:r>
            <w:proofErr w:type="gramEnd"/>
            <w:r w:rsidRPr="00F51AD9">
              <w:rPr>
                <w:rFonts w:asciiTheme="minorHAnsi" w:hAnsiTheme="minorHAnsi" w:cstheme="minorHAnsi"/>
                <w:sz w:val="20"/>
                <w:szCs w:val="20"/>
              </w:rPr>
              <w:t xml:space="preserve">, l'iniziativa </w:t>
            </w:r>
            <w:r w:rsidR="00F51AD9" w:rsidRPr="00F51AD9">
              <w:rPr>
                <w:rFonts w:asciiTheme="minorHAnsi" w:hAnsiTheme="minorHAnsi" w:cstheme="minorHAnsi"/>
                <w:sz w:val="20"/>
                <w:szCs w:val="20"/>
              </w:rPr>
              <w:t>U. DREAM</w:t>
            </w:r>
            <w:r w:rsidRPr="00F51AD9">
              <w:rPr>
                <w:rFonts w:asciiTheme="minorHAnsi" w:hAnsiTheme="minorHAnsi" w:cstheme="minorHAnsi"/>
                <w:sz w:val="20"/>
                <w:szCs w:val="20"/>
              </w:rPr>
              <w:t xml:space="preserve"> si allinea ai principi e alle pratiche del servizio di apprendimento nell'istruzione </w:t>
            </w:r>
            <w:r w:rsidRPr="00F51AD9">
              <w:rPr>
                <w:rFonts w:asciiTheme="minorHAnsi" w:hAnsiTheme="minorHAnsi" w:cstheme="minorHAnsi"/>
                <w:sz w:val="20"/>
                <w:szCs w:val="20"/>
              </w:rPr>
              <w:lastRenderedPageBreak/>
              <w:t>superiore in tutta Europa. Promuove e raggruppa anche azioni secondo gli Obiettivi di Sviluppo Sostenibile delle Nazioni Unite.</w:t>
            </w:r>
          </w:p>
        </w:tc>
      </w:tr>
      <w:tr w:rsidR="0057704A" w14:paraId="79161D00"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0000"/>
            <w:tcMar>
              <w:top w:w="0" w:type="dxa"/>
              <w:left w:w="108" w:type="dxa"/>
              <w:bottom w:w="0" w:type="dxa"/>
              <w:right w:w="108" w:type="dxa"/>
            </w:tcMar>
          </w:tcPr>
          <w:p w14:paraId="79161CFF" w14:textId="77777777" w:rsidR="0057704A" w:rsidRDefault="004A66A7">
            <w:pPr>
              <w:pStyle w:val="Standard"/>
              <w:spacing w:after="0" w:line="240" w:lineRule="auto"/>
              <w:jc w:val="center"/>
            </w:pPr>
            <w:r>
              <w:rPr>
                <w:rFonts w:cs="Calibri"/>
                <w:b/>
                <w:bCs/>
                <w:color w:val="FFFFFF"/>
                <w:sz w:val="20"/>
                <w:szCs w:val="20"/>
                <w:lang w:eastAsia="it-IT"/>
              </w:rPr>
              <w:lastRenderedPageBreak/>
              <w:t>6. Social Housing</w:t>
            </w:r>
          </w:p>
        </w:tc>
      </w:tr>
      <w:tr w:rsidR="0057704A" w14:paraId="79161D03"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9933"/>
            <w:tcMar>
              <w:top w:w="0" w:type="dxa"/>
              <w:left w:w="108" w:type="dxa"/>
              <w:bottom w:w="0" w:type="dxa"/>
              <w:right w:w="108" w:type="dxa"/>
            </w:tcMar>
          </w:tcPr>
          <w:p w14:paraId="79161D01" w14:textId="77777777" w:rsidR="0057704A" w:rsidRDefault="004A66A7">
            <w:pPr>
              <w:pStyle w:val="Standard"/>
              <w:spacing w:after="0" w:line="240" w:lineRule="auto"/>
              <w:jc w:val="center"/>
            </w:pPr>
            <w:r>
              <w:rPr>
                <w:rFonts w:cs="Calibri"/>
                <w:b/>
                <w:bCs/>
                <w:caps/>
                <w:color w:val="002060"/>
                <w:sz w:val="20"/>
                <w:szCs w:val="20"/>
                <w:lang w:eastAsia="it-IT"/>
              </w:rPr>
              <w:t>Repubblica Ceca</w:t>
            </w:r>
          </w:p>
          <w:p w14:paraId="79161D02" w14:textId="77777777" w:rsidR="0057704A" w:rsidRDefault="004A66A7">
            <w:pPr>
              <w:pStyle w:val="Standard"/>
              <w:spacing w:after="0" w:line="240" w:lineRule="auto"/>
              <w:jc w:val="center"/>
            </w:pPr>
            <w:r>
              <w:rPr>
                <w:rFonts w:cs="Calibri"/>
                <w:b/>
                <w:bCs/>
                <w:color w:val="002060"/>
                <w:sz w:val="20"/>
                <w:szCs w:val="20"/>
                <w:lang w:eastAsia="it-IT"/>
              </w:rPr>
              <w:t>Inserimento abitativo rapido</w:t>
            </w:r>
          </w:p>
        </w:tc>
      </w:tr>
      <w:tr w:rsidR="0057704A" w14:paraId="79161D10"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D04" w14:textId="77777777" w:rsidR="0057704A" w:rsidRDefault="004A66A7">
            <w:pPr>
              <w:pStyle w:val="Standard"/>
              <w:spacing w:after="0" w:line="240" w:lineRule="auto"/>
              <w:jc w:val="both"/>
            </w:pPr>
            <w:r>
              <w:rPr>
                <w:rFonts w:cs="Calibri"/>
                <w:color w:val="5B9BD5"/>
                <w:sz w:val="20"/>
                <w:szCs w:val="20"/>
                <w:lang w:eastAsia="it-IT"/>
              </w:rPr>
              <w:t>Problemi affrontati</w:t>
            </w:r>
          </w:p>
          <w:p w14:paraId="79161D05" w14:textId="77777777" w:rsidR="0057704A" w:rsidRDefault="004A66A7">
            <w:pPr>
              <w:pStyle w:val="Standard"/>
              <w:spacing w:after="0" w:line="240" w:lineRule="auto"/>
              <w:jc w:val="both"/>
            </w:pPr>
            <w:r>
              <w:rPr>
                <w:rFonts w:cs="Calibri"/>
                <w:color w:val="00000A"/>
                <w:sz w:val="20"/>
                <w:szCs w:val="20"/>
                <w:lang w:eastAsia="it-IT"/>
              </w:rPr>
              <w:t>A Brno, in Repubblica Ceca, nel 2016 più di 400 famiglie con bambini vivevano in alloggi temporanei o in case d'accoglienza, e la maggior parte di queste famiglie erano Rom. Il rapido aumento dei prezzi degli immobili, l'indebitamento, gli sfratti, l'instabilità e la disgregazione delle famiglie, uniti alla mancanza di alloggi in affitto a prezzi accessibili, sono i fattori che determinano la povertà abitativa a lungo termine. Una volta che le famiglie sono senza casa, sono percepite dai proprietari privati come inadatte e quindi hanno un accesso limitato al mercato immobiliare.</w:t>
            </w:r>
          </w:p>
          <w:p w14:paraId="79161D06" w14:textId="77777777" w:rsidR="0057704A" w:rsidRDefault="004A66A7">
            <w:pPr>
              <w:pStyle w:val="Standard"/>
              <w:spacing w:after="0" w:line="240" w:lineRule="auto"/>
              <w:jc w:val="both"/>
            </w:pPr>
            <w:r>
              <w:rPr>
                <w:rFonts w:cs="Calibri"/>
                <w:color w:val="5B9BD5"/>
                <w:sz w:val="20"/>
                <w:szCs w:val="20"/>
                <w:lang w:eastAsia="it-IT"/>
              </w:rPr>
              <w:t>Soluzioni innovative</w:t>
            </w:r>
          </w:p>
          <w:p w14:paraId="79161D07" w14:textId="77777777" w:rsidR="0057704A" w:rsidRDefault="004A66A7">
            <w:pPr>
              <w:pStyle w:val="Standard"/>
              <w:spacing w:after="0" w:line="240" w:lineRule="auto"/>
              <w:jc w:val="both"/>
            </w:pPr>
            <w:r>
              <w:rPr>
                <w:rFonts w:cs="Calibri"/>
                <w:sz w:val="20"/>
                <w:szCs w:val="20"/>
                <w:lang w:eastAsia="it-IT"/>
              </w:rPr>
              <w:t>Il progetto Rapid Re-housing, sostenuto dal FSE, riconosce che le persone con difficoltà abitative devono affrontare molte altre criticità, come la disoccupazione, i problemi legati alla cura dei figli e i problemi di salute mentale, e offre loro un sostegno abitativo incondizionato.</w:t>
            </w:r>
          </w:p>
          <w:p w14:paraId="79161D08" w14:textId="77777777" w:rsidR="0057704A" w:rsidRDefault="004A66A7">
            <w:pPr>
              <w:pStyle w:val="Standard"/>
              <w:spacing w:after="0" w:line="240" w:lineRule="auto"/>
              <w:jc w:val="both"/>
            </w:pPr>
            <w:r>
              <w:rPr>
                <w:rFonts w:cs="Calibri"/>
                <w:sz w:val="20"/>
                <w:szCs w:val="20"/>
                <w:lang w:eastAsia="it-IT"/>
              </w:rPr>
              <w:t>Il Rapid Re-housing segue l'innovativo approccio Housing First che si caratterizza per offrire un aiuto illimitato alle persone con necessità abitative, senza la pressione di dover rispettare determinate regole, come l'obbligo di trovare un lavoro.  Alle famiglie viene offerto un alloggio e un orientamento, ma i servizi sociali non interferiscono in alcun modo con le loro scelte di vita in materia di occupazione, scolarizzazione dei figli o gestione del budget.</w:t>
            </w:r>
          </w:p>
          <w:p w14:paraId="79161D09" w14:textId="77777777" w:rsidR="0057704A" w:rsidRDefault="004A66A7">
            <w:pPr>
              <w:pStyle w:val="Standard"/>
              <w:spacing w:after="0" w:line="240" w:lineRule="auto"/>
              <w:jc w:val="both"/>
            </w:pPr>
            <w:r>
              <w:rPr>
                <w:rFonts w:cs="Calibri"/>
                <w:sz w:val="20"/>
                <w:szCs w:val="20"/>
                <w:lang w:eastAsia="it-IT"/>
              </w:rPr>
              <w:t>La città di Brno ha lanciato il progetto nel 2006. Nella prima fase, sono state identificate 421 famiglie che avevano bisogno di un alloggio, erano senza casa o vivevano in ostelli privati, rifugi e in condizioni indecenti; due terzi di queste famiglie erano Rom. Nel corso del primo anno, 50 famiglie sono state selezionate a caso e hanno ottenuto un alloggio popolare a canone ridotto (circa il 50% dell'affitto normale). L'unico requisito per accedere all'alloggio era pagare l'affitto, mantenere buoni rapporti con i vicini e collaborare con gli assistenti sociali. Oltre all'alloggio, la città ha fornito alle famiglie selezionate un sostegno finanziario (se necessario) e un servizio di consulenza durante tutto l'anno.</w:t>
            </w:r>
          </w:p>
          <w:p w14:paraId="79161D0A" w14:textId="77777777" w:rsidR="0057704A" w:rsidRDefault="004A66A7">
            <w:pPr>
              <w:pStyle w:val="Standard"/>
              <w:spacing w:after="0" w:line="240" w:lineRule="auto"/>
              <w:jc w:val="both"/>
            </w:pPr>
            <w:r>
              <w:rPr>
                <w:rFonts w:cs="Calibri"/>
                <w:color w:val="5B9BD5"/>
                <w:sz w:val="20"/>
                <w:szCs w:val="20"/>
                <w:lang w:eastAsia="it-IT"/>
              </w:rPr>
              <w:t>Principali risultati e benefici</w:t>
            </w:r>
          </w:p>
          <w:p w14:paraId="79161D0B" w14:textId="77777777" w:rsidR="0057704A" w:rsidRDefault="004A66A7">
            <w:pPr>
              <w:pStyle w:val="Standard"/>
              <w:spacing w:after="0" w:line="240" w:lineRule="auto"/>
              <w:jc w:val="both"/>
            </w:pPr>
            <w:r>
              <w:rPr>
                <w:rFonts w:cs="Calibri"/>
                <w:sz w:val="20"/>
                <w:szCs w:val="20"/>
                <w:lang w:eastAsia="it-IT"/>
              </w:rPr>
              <w:t>Dopo il primo anno di intervento, il 96% delle famiglie (48 su 50) è riuscito a stabilizzare la propria situazione abitativa, a pagare regolarmente l'affitto e a rimanere nell'appartamento comunale. La ritrovata stabilità delle famiglie ha migliorato il loro benessere generale e la qualità della vita. Sono diminuiti i problemi di sonno, l'asma e altre malattie legate alle cattive condizioni di vita, ed è diminuito il livello di stress delle madri. Inoltre, il progetto ha diminuito di 2,4 volte la possibilità che i bambini andassero a dormire affamati.</w:t>
            </w:r>
          </w:p>
          <w:p w14:paraId="79161D0C" w14:textId="77777777" w:rsidR="0057704A" w:rsidRDefault="004A66A7">
            <w:pPr>
              <w:pStyle w:val="Standard"/>
              <w:spacing w:after="0" w:line="240" w:lineRule="auto"/>
              <w:jc w:val="both"/>
            </w:pPr>
            <w:r>
              <w:rPr>
                <w:rFonts w:cs="Calibri"/>
                <w:color w:val="00000A"/>
                <w:sz w:val="20"/>
                <w:szCs w:val="20"/>
                <w:lang w:eastAsia="it-IT"/>
              </w:rPr>
              <w:t>L'intervento ha anche riunito le famiglie. Prima dell'intervento, oltre il 40% delle famiglie era separato a causa della situazione abitativa. Complessivamente, il numero di bambini che vivevano in istituti per l'infanzia o presso parenti è diminuito del 7%. Il recupero della privacy e di un ambiente familiare stabile ha migliorato l'approccio delle famiglie all'educazione dei figli. L'11% dei bambini ha riferito un approccio più positivo alla scuola rispetto alla linea di base.</w:t>
            </w:r>
          </w:p>
          <w:p w14:paraId="79161D0D" w14:textId="77777777" w:rsidR="0057704A" w:rsidRDefault="004A66A7">
            <w:pPr>
              <w:pStyle w:val="Standard"/>
              <w:spacing w:after="0" w:line="240" w:lineRule="auto"/>
              <w:jc w:val="both"/>
            </w:pPr>
            <w:r>
              <w:rPr>
                <w:rFonts w:cs="Calibri"/>
                <w:color w:val="5B9BD5"/>
                <w:sz w:val="20"/>
                <w:szCs w:val="20"/>
                <w:lang w:eastAsia="it-IT"/>
              </w:rPr>
              <w:t>Potenziale di mainstreaming</w:t>
            </w:r>
          </w:p>
          <w:p w14:paraId="79161D0E" w14:textId="77777777" w:rsidR="0057704A" w:rsidRDefault="004A66A7">
            <w:pPr>
              <w:pStyle w:val="Standard"/>
              <w:spacing w:after="0" w:line="240" w:lineRule="auto"/>
              <w:jc w:val="both"/>
            </w:pPr>
            <w:r>
              <w:rPr>
                <w:rFonts w:cs="Calibri"/>
                <w:sz w:val="20"/>
                <w:szCs w:val="20"/>
                <w:lang w:eastAsia="it-IT"/>
              </w:rPr>
              <w:t>L'adesione e la cooperazione con le autorità locali è una condizione importante per trasferire il progetto in un altro contesto. Anche il potenziale di risparmio dei costi pubblici del progetto può contribuire a garantirne la trasferibilità.</w:t>
            </w:r>
          </w:p>
          <w:p w14:paraId="79161D0F" w14:textId="77777777" w:rsidR="0057704A" w:rsidRDefault="004A66A7">
            <w:pPr>
              <w:pStyle w:val="Standard"/>
              <w:spacing w:after="0" w:line="240" w:lineRule="auto"/>
              <w:jc w:val="both"/>
            </w:pPr>
            <w:r>
              <w:rPr>
                <w:rFonts w:cs="Calibri"/>
                <w:color w:val="00000A"/>
                <w:sz w:val="20"/>
                <w:szCs w:val="20"/>
                <w:lang w:eastAsia="it-IT"/>
              </w:rPr>
              <w:t>L'approccio del Rapid Re-housing è un forte esempio di approccio Housing First per far uscire le persone dalla condizione di senzatetto. Combina l'alloggio con un supporto olistico, fornendo una soluzione sostenibile per porre fine alla condizione di senzatetto in modo sistematico. L'approccio è trasferibile ad altri Paesi ed è nato negli Stati Uniti, dove a New York è stato sviluppato "Pathways to Housing". Si è rapidamente diffuso negli Stati Uniti, in Canada, in Nuova Zelanda e nei Paesi europei. Altre 13 città ceche sono interessate a utilizzare i fondi strutturali dell'UE e ad attuare una strategia simile per porre fine al fenomeno dei senzatetto.</w:t>
            </w:r>
          </w:p>
        </w:tc>
      </w:tr>
      <w:tr w:rsidR="0057704A" w14:paraId="79161D12"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3399"/>
            <w:tcMar>
              <w:top w:w="0" w:type="dxa"/>
              <w:left w:w="108" w:type="dxa"/>
              <w:bottom w:w="0" w:type="dxa"/>
              <w:right w:w="108" w:type="dxa"/>
            </w:tcMar>
          </w:tcPr>
          <w:p w14:paraId="79161D11" w14:textId="77777777" w:rsidR="0057704A" w:rsidRDefault="004A66A7">
            <w:pPr>
              <w:pStyle w:val="Standard"/>
              <w:spacing w:after="0" w:line="240" w:lineRule="auto"/>
              <w:jc w:val="center"/>
            </w:pPr>
            <w:r>
              <w:rPr>
                <w:rFonts w:cs="Calibri"/>
                <w:b/>
                <w:bCs/>
                <w:color w:val="00000A"/>
                <w:sz w:val="20"/>
                <w:szCs w:val="20"/>
                <w:lang w:eastAsia="it-IT"/>
              </w:rPr>
              <w:t>7. Pari opportunità e antidiscriminazione</w:t>
            </w:r>
          </w:p>
        </w:tc>
      </w:tr>
      <w:tr w:rsidR="0057704A" w14:paraId="79161D15"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71B8"/>
            <w:tcMar>
              <w:top w:w="0" w:type="dxa"/>
              <w:left w:w="108" w:type="dxa"/>
              <w:bottom w:w="0" w:type="dxa"/>
              <w:right w:w="108" w:type="dxa"/>
            </w:tcMar>
          </w:tcPr>
          <w:p w14:paraId="79161D13" w14:textId="77777777" w:rsidR="0057704A" w:rsidRDefault="004A66A7">
            <w:pPr>
              <w:pStyle w:val="Standard"/>
              <w:spacing w:after="0" w:line="240" w:lineRule="auto"/>
              <w:jc w:val="center"/>
            </w:pPr>
            <w:r>
              <w:rPr>
                <w:rFonts w:cs="Calibri"/>
                <w:b/>
                <w:bCs/>
                <w:color w:val="00000A"/>
                <w:sz w:val="20"/>
                <w:szCs w:val="20"/>
                <w:lang w:eastAsia="it-IT"/>
              </w:rPr>
              <w:t>PORTOGALLO</w:t>
            </w:r>
          </w:p>
          <w:p w14:paraId="79161D14" w14:textId="77777777" w:rsidR="0057704A" w:rsidRDefault="004A66A7">
            <w:pPr>
              <w:pStyle w:val="Standard"/>
              <w:spacing w:after="0" w:line="240" w:lineRule="auto"/>
              <w:jc w:val="center"/>
            </w:pPr>
            <w:proofErr w:type="spellStart"/>
            <w:r>
              <w:rPr>
                <w:rFonts w:cs="Calibri"/>
                <w:b/>
                <w:bCs/>
                <w:color w:val="00000A"/>
                <w:sz w:val="20"/>
                <w:szCs w:val="20"/>
                <w:lang w:eastAsia="it-IT"/>
              </w:rPr>
              <w:t>ColorADD</w:t>
            </w:r>
            <w:proofErr w:type="spellEnd"/>
            <w:r>
              <w:rPr>
                <w:rFonts w:cs="Calibri"/>
                <w:b/>
                <w:bCs/>
                <w:color w:val="00000A"/>
                <w:sz w:val="20"/>
                <w:szCs w:val="20"/>
                <w:lang w:eastAsia="it-IT"/>
              </w:rPr>
              <w:t xml:space="preserve"> e </w:t>
            </w:r>
            <w:proofErr w:type="spellStart"/>
            <w:r>
              <w:rPr>
                <w:rFonts w:cs="Calibri"/>
                <w:b/>
                <w:bCs/>
                <w:color w:val="00000A"/>
                <w:sz w:val="20"/>
                <w:szCs w:val="20"/>
                <w:lang w:eastAsia="it-IT"/>
              </w:rPr>
              <w:t>ColorADD</w:t>
            </w:r>
            <w:proofErr w:type="spellEnd"/>
            <w:r>
              <w:rPr>
                <w:rFonts w:cs="Calibri"/>
                <w:b/>
                <w:bCs/>
                <w:color w:val="00000A"/>
                <w:sz w:val="20"/>
                <w:szCs w:val="20"/>
                <w:lang w:eastAsia="it-IT"/>
              </w:rPr>
              <w:t xml:space="preserve"> sociale</w:t>
            </w:r>
          </w:p>
        </w:tc>
      </w:tr>
      <w:tr w:rsidR="0057704A" w14:paraId="79161D1D" w14:textId="77777777" w:rsidTr="00EC7110">
        <w:tc>
          <w:tcPr>
            <w:tcW w:w="9615" w:type="dxa"/>
            <w:tcBorders>
              <w:top w:val="single" w:sz="12" w:space="0" w:color="0070C0"/>
              <w:left w:val="single" w:sz="12" w:space="0" w:color="0070C0"/>
              <w:bottom w:val="single" w:sz="12" w:space="0" w:color="0070C0"/>
              <w:right w:val="single" w:sz="12" w:space="0" w:color="0070C0"/>
            </w:tcBorders>
            <w:shd w:val="clear" w:color="auto" w:fill="FFFFFF"/>
            <w:tcMar>
              <w:top w:w="0" w:type="dxa"/>
              <w:left w:w="108" w:type="dxa"/>
              <w:bottom w:w="0" w:type="dxa"/>
              <w:right w:w="108" w:type="dxa"/>
            </w:tcMar>
          </w:tcPr>
          <w:p w14:paraId="79161D16" w14:textId="77777777" w:rsidR="0057704A" w:rsidRDefault="004A66A7">
            <w:pPr>
              <w:pStyle w:val="Standard"/>
              <w:spacing w:after="0" w:line="240" w:lineRule="auto"/>
              <w:jc w:val="both"/>
            </w:pPr>
            <w:r>
              <w:rPr>
                <w:rFonts w:cs="Calibri"/>
                <w:color w:val="5B9BD5"/>
                <w:sz w:val="20"/>
                <w:szCs w:val="20"/>
                <w:lang w:eastAsia="it-IT"/>
              </w:rPr>
              <w:t>Problemi affrontati</w:t>
            </w:r>
          </w:p>
          <w:p w14:paraId="79161D17" w14:textId="77777777" w:rsidR="0057704A" w:rsidRDefault="004A66A7">
            <w:pPr>
              <w:pStyle w:val="Standard"/>
              <w:spacing w:after="0" w:line="240" w:lineRule="auto"/>
              <w:jc w:val="both"/>
            </w:pPr>
            <w:r>
              <w:rPr>
                <w:rFonts w:cs="Calibri"/>
                <w:color w:val="00000A"/>
                <w:sz w:val="20"/>
                <w:szCs w:val="20"/>
                <w:lang w:eastAsia="it-IT"/>
              </w:rPr>
              <w:t xml:space="preserve">Il codice </w:t>
            </w:r>
            <w:proofErr w:type="spellStart"/>
            <w:r>
              <w:rPr>
                <w:rFonts w:cs="Calibri"/>
                <w:color w:val="00000A"/>
                <w:sz w:val="20"/>
                <w:szCs w:val="20"/>
                <w:lang w:eastAsia="it-IT"/>
              </w:rPr>
              <w:t>ColorADD</w:t>
            </w:r>
            <w:proofErr w:type="spellEnd"/>
            <w:r>
              <w:rPr>
                <w:rFonts w:cs="Calibri"/>
                <w:color w:val="00000A"/>
                <w:sz w:val="20"/>
                <w:szCs w:val="20"/>
                <w:lang w:eastAsia="it-IT"/>
              </w:rPr>
              <w:t xml:space="preserve"> supera i problemi di esclusione e discriminazione connesse al riconoscimento dei colori. </w:t>
            </w:r>
            <w:proofErr w:type="gramStart"/>
            <w:r>
              <w:rPr>
                <w:rFonts w:cs="Calibri"/>
                <w:color w:val="00000A"/>
                <w:sz w:val="20"/>
                <w:szCs w:val="20"/>
                <w:lang w:eastAsia="it-IT"/>
              </w:rPr>
              <w:t>E’</w:t>
            </w:r>
            <w:proofErr w:type="gramEnd"/>
            <w:r>
              <w:rPr>
                <w:rFonts w:cs="Calibri"/>
                <w:color w:val="00000A"/>
                <w:sz w:val="20"/>
                <w:szCs w:val="20"/>
                <w:lang w:eastAsia="it-IT"/>
              </w:rPr>
              <w:t xml:space="preserve"> infatti un codice unico, universale, inclusivo e non discriminatorio che consente alle persone daltoniche di riconoscere i colori, laddove il colore sia fattore di identificazione, orientamento o scelta.</w:t>
            </w:r>
          </w:p>
          <w:p w14:paraId="79161D18" w14:textId="77777777" w:rsidR="0057704A" w:rsidRDefault="004A66A7">
            <w:pPr>
              <w:pStyle w:val="Standard"/>
              <w:spacing w:after="0" w:line="240" w:lineRule="auto"/>
              <w:jc w:val="both"/>
            </w:pPr>
            <w:r>
              <w:rPr>
                <w:rFonts w:cs="Calibri"/>
                <w:color w:val="5B9BD5"/>
                <w:sz w:val="20"/>
                <w:szCs w:val="20"/>
                <w:lang w:eastAsia="it-IT"/>
              </w:rPr>
              <w:t xml:space="preserve">Soluzioni innovative </w:t>
            </w:r>
            <w:r>
              <w:rPr>
                <w:rFonts w:cs="Calibri"/>
                <w:color w:val="00000A"/>
                <w:sz w:val="20"/>
                <w:szCs w:val="20"/>
                <w:lang w:eastAsia="it-IT"/>
              </w:rPr>
              <w:t xml:space="preserve">Fin dalla sua creazione, </w:t>
            </w:r>
            <w:proofErr w:type="spellStart"/>
            <w:r>
              <w:rPr>
                <w:rFonts w:cs="Calibri"/>
                <w:color w:val="00000A"/>
                <w:sz w:val="20"/>
                <w:szCs w:val="20"/>
                <w:lang w:eastAsia="it-IT"/>
              </w:rPr>
              <w:t>Coloradd</w:t>
            </w:r>
            <w:proofErr w:type="spellEnd"/>
            <w:r>
              <w:rPr>
                <w:rFonts w:cs="Calibri"/>
                <w:color w:val="00000A"/>
                <w:sz w:val="20"/>
                <w:szCs w:val="20"/>
                <w:lang w:eastAsia="it-IT"/>
              </w:rPr>
              <w:t xml:space="preserve"> è stato applicato in vari servizi, principalmente in Portogallo, in diversi settori come abbigliamento, tessuti e scarpe (etichettatura), matite, editori di libri di testo, trasporti (mappe della metropolitana), amministrazione comunale (es. Mappe, Accessibilità), salute (Accessibilità ed etichettatura farmaceutica), vendita al dettaglio di prodotti alimentari (etichetta nutrizionale a semaforo), giochi didattici ecc. L'obiettivo è, quindi, contribuire a una società più inclusiva e non discriminatoria, in cui ogni bambino e persona abbia le stesse opportunità di apprendimento e sappia identificare e interagire con la diversità.</w:t>
            </w:r>
          </w:p>
          <w:p w14:paraId="79161D19" w14:textId="77777777" w:rsidR="0057704A" w:rsidRDefault="004A66A7">
            <w:pPr>
              <w:pStyle w:val="Standard"/>
              <w:spacing w:after="0" w:line="240" w:lineRule="auto"/>
              <w:jc w:val="both"/>
            </w:pPr>
            <w:r>
              <w:rPr>
                <w:rFonts w:cs="Calibri"/>
                <w:color w:val="5B9BD5"/>
                <w:sz w:val="20"/>
                <w:szCs w:val="20"/>
                <w:lang w:eastAsia="it-IT"/>
              </w:rPr>
              <w:lastRenderedPageBreak/>
              <w:t>Principali risultati e benefici</w:t>
            </w:r>
          </w:p>
          <w:p w14:paraId="79161D1A" w14:textId="77777777" w:rsidR="0057704A" w:rsidRDefault="004A66A7">
            <w:pPr>
              <w:pStyle w:val="Standard"/>
              <w:spacing w:after="0" w:line="240" w:lineRule="auto"/>
              <w:jc w:val="both"/>
            </w:pPr>
            <w:r>
              <w:rPr>
                <w:rFonts w:cs="Calibri"/>
                <w:sz w:val="20"/>
                <w:szCs w:val="20"/>
                <w:lang w:eastAsia="it-IT"/>
              </w:rPr>
              <w:t xml:space="preserve">L'impatto fornito è stimato in base al numero di entità e paesi che utilizzano il codice, numero di utenti complessivi di un servizio o prodotto specifico. </w:t>
            </w:r>
            <w:proofErr w:type="spellStart"/>
            <w:r>
              <w:rPr>
                <w:rFonts w:cs="Calibri"/>
                <w:sz w:val="20"/>
                <w:szCs w:val="20"/>
                <w:lang w:eastAsia="it-IT"/>
              </w:rPr>
              <w:t>ColorAdd</w:t>
            </w:r>
            <w:proofErr w:type="spellEnd"/>
            <w:r>
              <w:rPr>
                <w:rFonts w:cs="Calibri"/>
                <w:sz w:val="20"/>
                <w:szCs w:val="20"/>
                <w:lang w:eastAsia="it-IT"/>
              </w:rPr>
              <w:t xml:space="preserve"> sta conducendo uno studio per valutare l'impatto del </w:t>
            </w:r>
            <w:proofErr w:type="spellStart"/>
            <w:r>
              <w:rPr>
                <w:rFonts w:cs="Calibri"/>
                <w:sz w:val="20"/>
                <w:szCs w:val="20"/>
                <w:lang w:eastAsia="it-IT"/>
              </w:rPr>
              <w:t>ColorADD</w:t>
            </w:r>
            <w:proofErr w:type="spellEnd"/>
            <w:r>
              <w:rPr>
                <w:rFonts w:cs="Calibri"/>
                <w:sz w:val="20"/>
                <w:szCs w:val="20"/>
                <w:lang w:eastAsia="it-IT"/>
              </w:rPr>
              <w:t xml:space="preserve"> School Program e, a lungo termine, la riduzione dell'insuccesso scolastico e dell'abbandono precoce, sul numero di bambini con difficoltà di apprendimento, difficoltà interpersonali nonché sulla riduzione di situazioni di bullismo.</w:t>
            </w:r>
          </w:p>
          <w:p w14:paraId="79161D1B" w14:textId="77777777" w:rsidR="0057704A" w:rsidRDefault="004A66A7">
            <w:pPr>
              <w:pStyle w:val="Standard"/>
              <w:spacing w:after="0" w:line="240" w:lineRule="auto"/>
              <w:jc w:val="both"/>
            </w:pPr>
            <w:r>
              <w:rPr>
                <w:rFonts w:cs="Calibri"/>
                <w:color w:val="00000A"/>
                <w:sz w:val="20"/>
                <w:szCs w:val="20"/>
                <w:lang w:eastAsia="it-IT"/>
              </w:rPr>
              <w:t>Più di 45 paesi sono entrati in contatto diretto con il codice e più di 250 aziende ed enti lo stanno attualmente utilizzando.</w:t>
            </w:r>
            <w:r>
              <w:rPr>
                <w:rFonts w:cs="Calibri"/>
                <w:sz w:val="20"/>
                <w:szCs w:val="20"/>
                <w:lang w:eastAsia="it-IT"/>
              </w:rPr>
              <w:t xml:space="preserve"> </w:t>
            </w:r>
            <w:r>
              <w:rPr>
                <w:rFonts w:cs="Calibri"/>
                <w:color w:val="00000A"/>
                <w:sz w:val="20"/>
                <w:szCs w:val="20"/>
                <w:lang w:eastAsia="it-IT"/>
              </w:rPr>
              <w:t xml:space="preserve">Il codice </w:t>
            </w:r>
            <w:proofErr w:type="spellStart"/>
            <w:r>
              <w:rPr>
                <w:rFonts w:cs="Calibri"/>
                <w:color w:val="00000A"/>
                <w:sz w:val="20"/>
                <w:szCs w:val="20"/>
                <w:lang w:eastAsia="it-IT"/>
              </w:rPr>
              <w:t>ColorADD</w:t>
            </w:r>
            <w:proofErr w:type="spellEnd"/>
            <w:r>
              <w:rPr>
                <w:rFonts w:cs="Calibri"/>
                <w:color w:val="00000A"/>
                <w:sz w:val="20"/>
                <w:szCs w:val="20"/>
                <w:lang w:eastAsia="it-IT"/>
              </w:rPr>
              <w:t xml:space="preserve"> è stato aggiunto fino ad oggi a 100 milioni di etichette di abbigliamento, 6 milioni di astucci colorati con il codice, 900.000 libri di testo, le etichette di composizione nutrizionale di 1.500 diversi prodotti alimentari, 950.000 segnaletica di sicurezza, 400 biblioteche, 2.600.000 esami nazionali per la scuola secondaria.</w:t>
            </w:r>
            <w:r>
              <w:rPr>
                <w:rFonts w:cs="Calibri"/>
                <w:sz w:val="20"/>
                <w:szCs w:val="20"/>
                <w:lang w:eastAsia="it-IT"/>
              </w:rPr>
              <w:t xml:space="preserve"> </w:t>
            </w:r>
            <w:r>
              <w:rPr>
                <w:rFonts w:cs="Calibri"/>
                <w:color w:val="00000A"/>
                <w:sz w:val="20"/>
                <w:szCs w:val="20"/>
                <w:lang w:eastAsia="it-IT"/>
              </w:rPr>
              <w:t xml:space="preserve">Per quanto riguarda i laboratori svolti nelle scuole, 52.700 studenti hanno preso parte alle attività, sono stati coinvolti 5.800 tra docenti, assistenti e tecnici scolastici, sono stati distribuiti 37.800 kit </w:t>
            </w:r>
            <w:proofErr w:type="spellStart"/>
            <w:r>
              <w:rPr>
                <w:rFonts w:cs="Calibri"/>
                <w:color w:val="00000A"/>
                <w:sz w:val="20"/>
                <w:szCs w:val="20"/>
                <w:lang w:eastAsia="it-IT"/>
              </w:rPr>
              <w:t>ColorADD</w:t>
            </w:r>
            <w:proofErr w:type="spellEnd"/>
            <w:r>
              <w:rPr>
                <w:rFonts w:cs="Calibri"/>
                <w:color w:val="00000A"/>
                <w:sz w:val="20"/>
                <w:szCs w:val="20"/>
                <w:lang w:eastAsia="it-IT"/>
              </w:rPr>
              <w:t xml:space="preserve"> agli Potenziale di mainstreaming</w:t>
            </w:r>
          </w:p>
          <w:p w14:paraId="79161D1C" w14:textId="00C75554" w:rsidR="0057704A" w:rsidRDefault="004A66A7">
            <w:pPr>
              <w:pStyle w:val="Standard"/>
              <w:spacing w:after="0" w:line="240" w:lineRule="auto"/>
              <w:jc w:val="both"/>
            </w:pPr>
            <w:r>
              <w:rPr>
                <w:rFonts w:cs="Calibri"/>
                <w:color w:val="5B9BD5"/>
                <w:sz w:val="20"/>
                <w:szCs w:val="20"/>
                <w:lang w:eastAsia="it-IT"/>
              </w:rPr>
              <w:t xml:space="preserve">Potenziale di mainstreaming </w:t>
            </w:r>
            <w:proofErr w:type="spellStart"/>
            <w:r>
              <w:rPr>
                <w:rFonts w:cs="Calibri"/>
                <w:color w:val="00000A"/>
                <w:sz w:val="20"/>
                <w:szCs w:val="20"/>
                <w:lang w:eastAsia="it-IT"/>
              </w:rPr>
              <w:t>l</w:t>
            </w:r>
            <w:r w:rsidR="00003892">
              <w:rPr>
                <w:rFonts w:cs="Calibri"/>
                <w:color w:val="00000A"/>
                <w:sz w:val="20"/>
                <w:szCs w:val="20"/>
                <w:lang w:eastAsia="it-IT"/>
              </w:rPr>
              <w:t>l</w:t>
            </w:r>
            <w:proofErr w:type="spellEnd"/>
            <w:r>
              <w:rPr>
                <w:rFonts w:cs="Calibri"/>
                <w:color w:val="00000A"/>
                <w:sz w:val="20"/>
                <w:szCs w:val="20"/>
                <w:lang w:eastAsia="it-IT"/>
              </w:rPr>
              <w:t xml:space="preserve"> progetto </w:t>
            </w:r>
            <w:proofErr w:type="spellStart"/>
            <w:r>
              <w:rPr>
                <w:rFonts w:cs="Calibri"/>
                <w:color w:val="00000A"/>
                <w:sz w:val="20"/>
                <w:szCs w:val="20"/>
                <w:lang w:eastAsia="it-IT"/>
              </w:rPr>
              <w:t>ColorADD</w:t>
            </w:r>
            <w:proofErr w:type="spellEnd"/>
            <w:r>
              <w:rPr>
                <w:rFonts w:cs="Calibri"/>
                <w:color w:val="00000A"/>
                <w:sz w:val="20"/>
                <w:szCs w:val="20"/>
                <w:lang w:eastAsia="it-IT"/>
              </w:rPr>
              <w:t xml:space="preserve"> è trasferibile e scalabile. Può essere adottato da aziende private, fornitori di servizi e istituzioni pubbliche, ogni volta che un colore è un fattore di identificazione, orientamento o scelta. Sia il codice stesso che i workshop possono essere trasferiti in altri contesti, attraverso l'acquisizione della licenza. Il canone viene adattato al profilo del partner. Questo approccio garantisce che il prezzo non sia un limite per l'adozione del codice, contribuendo allo stesso tempo a finanziare gli sforzi del progetto.</w:t>
            </w:r>
          </w:p>
        </w:tc>
      </w:tr>
      <w:tr w:rsidR="0057704A" w14:paraId="79161D1F" w14:textId="77777777" w:rsidTr="00EC7110">
        <w:tc>
          <w:tcPr>
            <w:tcW w:w="9615" w:type="dxa"/>
            <w:tcBorders>
              <w:top w:val="single" w:sz="12" w:space="0" w:color="0070C0"/>
              <w:right w:val="single" w:sz="8" w:space="0" w:color="5B9BD5"/>
            </w:tcBorders>
            <w:shd w:val="clear" w:color="auto" w:fill="FFFFFF"/>
            <w:tcMar>
              <w:top w:w="0" w:type="dxa"/>
              <w:left w:w="108" w:type="dxa"/>
              <w:bottom w:w="0" w:type="dxa"/>
              <w:right w:w="108" w:type="dxa"/>
            </w:tcMar>
          </w:tcPr>
          <w:p w14:paraId="79161D1E" w14:textId="77777777" w:rsidR="0057704A" w:rsidRDefault="0057704A">
            <w:pPr>
              <w:pStyle w:val="Standard"/>
              <w:spacing w:after="0" w:line="240" w:lineRule="auto"/>
              <w:rPr>
                <w:rFonts w:ascii="Calibri Light" w:hAnsi="Calibri Light"/>
                <w:color w:val="000000"/>
                <w:sz w:val="20"/>
                <w:szCs w:val="20"/>
                <w:lang w:eastAsia="it-IT"/>
              </w:rPr>
            </w:pPr>
          </w:p>
        </w:tc>
      </w:tr>
    </w:tbl>
    <w:p w14:paraId="79161D20" w14:textId="77777777" w:rsidR="0057704A" w:rsidRDefault="0057704A">
      <w:pPr>
        <w:pStyle w:val="Standard"/>
        <w:spacing w:after="0" w:line="240" w:lineRule="auto"/>
      </w:pPr>
    </w:p>
    <w:sectPr w:rsidR="0057704A">
      <w:footerReference w:type="default" r:id="rId9"/>
      <w:pgSz w:w="11906" w:h="16838"/>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6C505" w14:textId="77777777" w:rsidR="00035ABB" w:rsidRDefault="00035ABB">
      <w:pPr>
        <w:spacing w:after="0" w:line="240" w:lineRule="auto"/>
      </w:pPr>
      <w:r>
        <w:separator/>
      </w:r>
    </w:p>
  </w:endnote>
  <w:endnote w:type="continuationSeparator" w:id="0">
    <w:p w14:paraId="75BEB2AD" w14:textId="77777777" w:rsidR="00035ABB" w:rsidRDefault="00035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1B94" w14:textId="77777777" w:rsidR="00063B40" w:rsidRDefault="00063B40">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BF30D" w14:textId="77777777" w:rsidR="00035ABB" w:rsidRDefault="00035ABB">
      <w:pPr>
        <w:spacing w:after="0" w:line="240" w:lineRule="auto"/>
      </w:pPr>
      <w:r>
        <w:rPr>
          <w:color w:val="000000"/>
        </w:rPr>
        <w:separator/>
      </w:r>
    </w:p>
  </w:footnote>
  <w:footnote w:type="continuationSeparator" w:id="0">
    <w:p w14:paraId="32397CE1" w14:textId="77777777" w:rsidR="00035ABB" w:rsidRDefault="00035ABB">
      <w:pPr>
        <w:spacing w:after="0" w:line="240" w:lineRule="auto"/>
      </w:pPr>
      <w:r>
        <w:continuationSeparator/>
      </w:r>
    </w:p>
  </w:footnote>
  <w:footnote w:id="1">
    <w:p w14:paraId="79161B8B" w14:textId="77777777" w:rsidR="0057704A" w:rsidRDefault="004A66A7">
      <w:pPr>
        <w:pStyle w:val="Testonotaapidipagina"/>
        <w:jc w:val="both"/>
      </w:pPr>
      <w:r>
        <w:rPr>
          <w:rStyle w:val="Rimandonotaapidipagina"/>
        </w:rPr>
        <w:footnoteRef/>
      </w:r>
      <w:r>
        <w:rPr>
          <w:sz w:val="18"/>
          <w:szCs w:val="18"/>
        </w:rPr>
        <w:t>Con specifico riferimento al FSE, il tema dell’innovazione sociale è stato infatti oggetto di diverse istruttorie da parte di Tecnostruttura, alle quali si rinvia per una disamina più puntuale: la presentazione-slides “Servizi, Territori e Innovazione sociale” (</w:t>
      </w:r>
      <w:proofErr w:type="spellStart"/>
      <w:r>
        <w:rPr>
          <w:sz w:val="18"/>
          <w:szCs w:val="18"/>
        </w:rPr>
        <w:t>cfr</w:t>
      </w:r>
      <w:proofErr w:type="spellEnd"/>
      <w:r>
        <w:rPr>
          <w:sz w:val="18"/>
          <w:szCs w:val="18"/>
        </w:rPr>
        <w:t xml:space="preserve"> nota </w:t>
      </w:r>
      <w:proofErr w:type="spellStart"/>
      <w:r>
        <w:rPr>
          <w:sz w:val="18"/>
          <w:szCs w:val="18"/>
        </w:rPr>
        <w:t>prot</w:t>
      </w:r>
      <w:proofErr w:type="spellEnd"/>
      <w:r>
        <w:rPr>
          <w:sz w:val="18"/>
          <w:szCs w:val="18"/>
        </w:rPr>
        <w:t xml:space="preserve"> 1180/</w:t>
      </w:r>
      <w:proofErr w:type="spellStart"/>
      <w:r>
        <w:rPr>
          <w:sz w:val="18"/>
          <w:szCs w:val="18"/>
        </w:rPr>
        <w:t>fse</w:t>
      </w:r>
      <w:proofErr w:type="spellEnd"/>
      <w:r>
        <w:rPr>
          <w:sz w:val="18"/>
          <w:szCs w:val="18"/>
        </w:rPr>
        <w:t xml:space="preserve"> 22.4 del 30.06.22</w:t>
      </w:r>
      <w:proofErr w:type="gramStart"/>
      <w:r>
        <w:rPr>
          <w:sz w:val="18"/>
          <w:szCs w:val="18"/>
        </w:rPr>
        <w:t>)  -</w:t>
      </w:r>
      <w:proofErr w:type="gramEnd"/>
      <w:r>
        <w:rPr>
          <w:sz w:val="18"/>
          <w:szCs w:val="18"/>
        </w:rPr>
        <w:t xml:space="preserve">  nota istruttoria . prot. 0292/FSE del 18 febbraio 2022 - Prime ipotesi di declinazione nei Programmi FSE ‘21-’27 (invio Tecnostruttura 08.04.2021, per </w:t>
      </w:r>
      <w:proofErr w:type="spellStart"/>
      <w:r>
        <w:rPr>
          <w:sz w:val="18"/>
          <w:szCs w:val="18"/>
        </w:rPr>
        <w:t>gdl</w:t>
      </w:r>
      <w:proofErr w:type="spellEnd"/>
      <w:r>
        <w:rPr>
          <w:sz w:val="18"/>
          <w:szCs w:val="18"/>
        </w:rPr>
        <w:t xml:space="preserve"> template 9 aprile) - Innovazione sociale: iniziative realizzate nella programmazione 14-20 e prospettive future- prot. 1138 del 23.02.2021; Innovazione sociale ed Economia Circolare – prot. 1458 del 16.07.2018; Spunti di riflessione sul tema dell'innovazione sociale- prot. 1940 del 17.09.2015); alcuni sono stati inoltre pubblicati nella rivista on line Quaderni di Tecnostruttura.</w:t>
      </w:r>
    </w:p>
  </w:footnote>
  <w:footnote w:id="2">
    <w:p w14:paraId="79161B8C" w14:textId="77777777" w:rsidR="0057704A" w:rsidRDefault="004A66A7">
      <w:pPr>
        <w:pStyle w:val="Testonotaapidipagina"/>
        <w:jc w:val="both"/>
      </w:pPr>
      <w:r>
        <w:rPr>
          <w:rStyle w:val="Rimandonotaapidipagina"/>
        </w:rPr>
        <w:footnoteRef/>
      </w:r>
      <w:r>
        <w:t xml:space="preserve"> </w:t>
      </w:r>
      <w:r>
        <w:rPr>
          <w:sz w:val="18"/>
          <w:szCs w:val="18"/>
        </w:rPr>
        <w:t>La ricognizione sulle azioni di innovazione sociale nei PR FSE+ è stata realizzata da Tecnostruttura per dare seguito alla richiesta emersa in sede di Comitato Tecnico del progetto interregionale sulla Semplificazione dei costi, al fine di consentire alle Regioni/PA di verificare la fattibilità di lavorare in maniera congiunta per individuare tipologie comuni di OSC per tali interventi (cfr. anche Prot.0872/FSE del 05.05.2023).</w:t>
      </w:r>
    </w:p>
  </w:footnote>
  <w:footnote w:id="3">
    <w:p w14:paraId="79161B8D" w14:textId="5AAF7C69" w:rsidR="0057704A" w:rsidRDefault="004A66A7">
      <w:pPr>
        <w:pStyle w:val="Testonotaapidipagina"/>
        <w:jc w:val="both"/>
      </w:pPr>
      <w:r>
        <w:rPr>
          <w:rStyle w:val="Rimandonotaapidipagina"/>
        </w:rPr>
        <w:footnoteRef/>
      </w:r>
      <w:r>
        <w:rPr>
          <w:sz w:val="18"/>
          <w:szCs w:val="18"/>
        </w:rPr>
        <w:t xml:space="preserve">Per informazioni di dettaglio sui temi oggetto dell’incontro, si rinvia al report di sintesi elaborato </w:t>
      </w:r>
      <w:proofErr w:type="gramStart"/>
      <w:r>
        <w:rPr>
          <w:sz w:val="18"/>
          <w:szCs w:val="18"/>
        </w:rPr>
        <w:t>dal team</w:t>
      </w:r>
      <w:proofErr w:type="gramEnd"/>
      <w:r>
        <w:rPr>
          <w:sz w:val="18"/>
          <w:szCs w:val="18"/>
        </w:rPr>
        <w:t xml:space="preserve"> della </w:t>
      </w:r>
      <w:proofErr w:type="spellStart"/>
      <w:r>
        <w:rPr>
          <w:i/>
          <w:iCs/>
          <w:sz w:val="18"/>
          <w:szCs w:val="18"/>
        </w:rPr>
        <w:t>Cop</w:t>
      </w:r>
      <w:proofErr w:type="spellEnd"/>
      <w:r>
        <w:rPr>
          <w:sz w:val="18"/>
          <w:szCs w:val="18"/>
        </w:rPr>
        <w:t xml:space="preserve"> e alle slides di presentazione della CE (cfr. </w:t>
      </w:r>
      <w:proofErr w:type="spellStart"/>
      <w:r>
        <w:rPr>
          <w:sz w:val="18"/>
          <w:szCs w:val="18"/>
        </w:rPr>
        <w:t>all</w:t>
      </w:r>
      <w:proofErr w:type="spellEnd"/>
      <w:r>
        <w:rPr>
          <w:sz w:val="18"/>
          <w:szCs w:val="18"/>
        </w:rPr>
        <w:t>. 4 del presente invio). Come si evince anche dal Report, l</w:t>
      </w:r>
      <w:r>
        <w:rPr>
          <w:bCs/>
          <w:sz w:val="18"/>
          <w:szCs w:val="18"/>
        </w:rPr>
        <w:t xml:space="preserve">a CE si è riservata </w:t>
      </w:r>
      <w:r w:rsidR="001C62C3">
        <w:rPr>
          <w:bCs/>
          <w:sz w:val="18"/>
          <w:szCs w:val="18"/>
        </w:rPr>
        <w:t>una verifica</w:t>
      </w:r>
      <w:r>
        <w:rPr>
          <w:bCs/>
          <w:sz w:val="18"/>
          <w:szCs w:val="18"/>
        </w:rPr>
        <w:t xml:space="preserve"> sulla correttezza dei dati forniti, anche finanziari, successiva alla approvazione di tutti i Programmi.</w:t>
      </w:r>
    </w:p>
  </w:footnote>
  <w:footnote w:id="4">
    <w:p w14:paraId="79161B8E" w14:textId="40993A36" w:rsidR="0057704A" w:rsidRDefault="004A66A7">
      <w:pPr>
        <w:pStyle w:val="Testonotaapidipagina"/>
        <w:jc w:val="both"/>
      </w:pPr>
      <w:r>
        <w:rPr>
          <w:rStyle w:val="Rimandonotaapidipagina"/>
        </w:rPr>
        <w:footnoteRef/>
      </w:r>
      <w:r>
        <w:rPr>
          <w:rFonts w:cs="Calibri"/>
          <w:sz w:val="18"/>
          <w:szCs w:val="18"/>
        </w:rPr>
        <w:t xml:space="preserve">Si rimanda all’approfondimento dedicato svolto in precedenti lavori </w:t>
      </w:r>
      <w:proofErr w:type="spellStart"/>
      <w:r>
        <w:rPr>
          <w:rFonts w:cs="Calibri"/>
          <w:sz w:val="18"/>
          <w:szCs w:val="18"/>
        </w:rPr>
        <w:t>Cfr</w:t>
      </w:r>
      <w:proofErr w:type="spellEnd"/>
      <w:r>
        <w:rPr>
          <w:rFonts w:cs="Calibri"/>
          <w:sz w:val="18"/>
          <w:szCs w:val="18"/>
        </w:rPr>
        <w:t xml:space="preserve"> </w:t>
      </w:r>
      <w:r>
        <w:rPr>
          <w:rFonts w:cs="Calibri"/>
          <w:i/>
          <w:iCs/>
          <w:sz w:val="18"/>
          <w:szCs w:val="18"/>
        </w:rPr>
        <w:t xml:space="preserve">Nota istruttoria Iniziativa ALMA Giovani svantaggiati - in esito all’incontro del Gruppo Intercoordinamenti Inclusione sociale, </w:t>
      </w:r>
      <w:r>
        <w:rPr>
          <w:rFonts w:cs="Calibri"/>
          <w:sz w:val="18"/>
          <w:szCs w:val="18"/>
        </w:rPr>
        <w:t>trasmesso da Tecnostruttura il</w:t>
      </w:r>
      <w:r>
        <w:rPr>
          <w:rFonts w:cs="Calibri"/>
          <w:i/>
          <w:iCs/>
          <w:sz w:val="18"/>
          <w:szCs w:val="18"/>
        </w:rPr>
        <w:t xml:space="preserve"> </w:t>
      </w:r>
      <w:r>
        <w:rPr>
          <w:rFonts w:cs="Calibri"/>
          <w:color w:val="000000"/>
          <w:sz w:val="18"/>
          <w:szCs w:val="18"/>
        </w:rPr>
        <w:t>21/11/2022</w:t>
      </w:r>
      <w:r>
        <w:rPr>
          <w:rFonts w:cs="Calibri"/>
          <w:i/>
          <w:iCs/>
          <w:sz w:val="18"/>
          <w:szCs w:val="18"/>
        </w:rPr>
        <w:t xml:space="preserve"> - </w:t>
      </w:r>
      <w:proofErr w:type="spellStart"/>
      <w:r w:rsidR="000731DF">
        <w:rPr>
          <w:rFonts w:cs="Calibri"/>
          <w:sz w:val="18"/>
          <w:szCs w:val="18"/>
        </w:rPr>
        <w:t>prot</w:t>
      </w:r>
      <w:proofErr w:type="spellEnd"/>
      <w:r w:rsidR="000731DF">
        <w:rPr>
          <w:rFonts w:cs="Calibri"/>
          <w:sz w:val="18"/>
          <w:szCs w:val="18"/>
        </w:rPr>
        <w:t xml:space="preserve"> 2110</w:t>
      </w:r>
      <w:r>
        <w:rPr>
          <w:rFonts w:cs="Calibri"/>
          <w:sz w:val="18"/>
          <w:szCs w:val="18"/>
        </w:rPr>
        <w:t>/</w:t>
      </w:r>
      <w:proofErr w:type="spellStart"/>
      <w:r>
        <w:rPr>
          <w:rFonts w:cs="Calibri"/>
          <w:sz w:val="18"/>
          <w:szCs w:val="18"/>
        </w:rPr>
        <w:t>fse</w:t>
      </w:r>
      <w:proofErr w:type="spellEnd"/>
      <w:r>
        <w:rPr>
          <w:rFonts w:cs="Calibri"/>
          <w:sz w:val="18"/>
          <w:szCs w:val="18"/>
        </w:rPr>
        <w:t xml:space="preserve"> 22.1</w:t>
      </w:r>
      <w:r>
        <w:rPr>
          <w:rFonts w:cs="Calibri"/>
          <w:sz w:val="18"/>
          <w:szCs w:val="18"/>
        </w:rPr>
        <w:tab/>
      </w:r>
      <w:r>
        <w:t xml:space="preserve"> </w:t>
      </w:r>
      <w:r>
        <w:tab/>
      </w:r>
    </w:p>
  </w:footnote>
  <w:footnote w:id="5">
    <w:p w14:paraId="79161B8F" w14:textId="77777777" w:rsidR="0057704A" w:rsidRDefault="004A66A7">
      <w:pPr>
        <w:pStyle w:val="Testonotaapidipagina"/>
        <w:jc w:val="both"/>
      </w:pPr>
      <w:r>
        <w:rPr>
          <w:rStyle w:val="Rimandonotaapidipagina"/>
        </w:rPr>
        <w:footnoteRef/>
      </w:r>
      <w:r>
        <w:rPr>
          <w:sz w:val="18"/>
          <w:szCs w:val="18"/>
        </w:rPr>
        <w:t xml:space="preserve">La lista delle Buone Pratiche presenti in tale documento </w:t>
      </w:r>
      <w:r>
        <w:rPr>
          <w:sz w:val="18"/>
          <w:szCs w:val="18"/>
          <w:u w:val="single"/>
        </w:rPr>
        <w:t>è aggiuntiva</w:t>
      </w:r>
      <w:r>
        <w:rPr>
          <w:sz w:val="18"/>
          <w:szCs w:val="18"/>
        </w:rPr>
        <w:t xml:space="preserve"> rispetto a quelle contenute nella nota istruttoria di Tecnostruttura </w:t>
      </w:r>
      <w:r>
        <w:rPr>
          <w:rFonts w:eastAsia="Times New Roman" w:cs="Calibri"/>
          <w:sz w:val="18"/>
          <w:szCs w:val="18"/>
          <w:lang w:eastAsia="it-IT"/>
        </w:rPr>
        <w:t>prot. 0292/FSE del 18 febbraio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246"/>
    <w:multiLevelType w:val="multilevel"/>
    <w:tmpl w:val="CDB89824"/>
    <w:styleLink w:val="WWNum26"/>
    <w:lvl w:ilvl="0">
      <w:numFmt w:val="bullet"/>
      <w:lvlText w:val="o"/>
      <w:lvlJc w:val="left"/>
      <w:pPr>
        <w:ind w:left="720" w:hanging="360"/>
      </w:pPr>
      <w:rPr>
        <w:rFonts w:ascii="Courier New" w:hAnsi="Courier New"/>
        <w:b/>
        <w:bCs/>
        <w:color w:val="0070C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97580E"/>
    <w:multiLevelType w:val="multilevel"/>
    <w:tmpl w:val="9CF868B0"/>
    <w:styleLink w:val="WWNum28"/>
    <w:lvl w:ilvl="0">
      <w:start w:val="1"/>
      <w:numFmt w:val="decimal"/>
      <w:lvlText w:val="%1."/>
      <w:lvlJc w:val="left"/>
      <w:pPr>
        <w:ind w:left="720" w:hanging="360"/>
      </w:pPr>
      <w:rPr>
        <w:b/>
        <w:bCs/>
        <w:color w:val="5B9BD5"/>
      </w:rPr>
    </w:lvl>
    <w:lvl w:ilvl="1">
      <w:numFmt w:val="bullet"/>
      <w:lvlText w:val=""/>
      <w:lvlJc w:val="left"/>
      <w:pPr>
        <w:ind w:left="1440" w:hanging="360"/>
      </w:pPr>
      <w:rPr>
        <w:rFonts w:ascii="Symbol" w:hAnsi="Symbol"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10343DEB"/>
    <w:multiLevelType w:val="multilevel"/>
    <w:tmpl w:val="57B6569C"/>
    <w:styleLink w:val="WWNum39"/>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3" w15:restartNumberingAfterBreak="0">
    <w:nsid w:val="12EB059D"/>
    <w:multiLevelType w:val="multilevel"/>
    <w:tmpl w:val="0F04782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15127A92"/>
    <w:multiLevelType w:val="multilevel"/>
    <w:tmpl w:val="FB3CF092"/>
    <w:styleLink w:val="WWNum37"/>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804014A"/>
    <w:multiLevelType w:val="multilevel"/>
    <w:tmpl w:val="345E705A"/>
    <w:lvl w:ilvl="0">
      <w:numFmt w:val="bullet"/>
      <w:lvlText w:val=""/>
      <w:lvlJc w:val="left"/>
      <w:pPr>
        <w:ind w:left="360" w:hanging="360"/>
      </w:pPr>
      <w:rPr>
        <w:rFonts w:ascii="Wingdings" w:eastAsia="SimSun" w:hAnsi="Wingdings" w:cs="F"/>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1D2C69AD"/>
    <w:multiLevelType w:val="multilevel"/>
    <w:tmpl w:val="A7CA5C7E"/>
    <w:styleLink w:val="WWNum7"/>
    <w:lvl w:ilvl="0">
      <w:numFmt w:val="bullet"/>
      <w:lvlText w:val="-"/>
      <w:lvlJc w:val="left"/>
      <w:pPr>
        <w:ind w:left="720" w:hanging="360"/>
      </w:pPr>
      <w:rPr>
        <w:rFonts w:ascii="Times New Roman" w:hAnsi="Times New Roman" w:cs="Calibri"/>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E444113"/>
    <w:multiLevelType w:val="multilevel"/>
    <w:tmpl w:val="765C3C38"/>
    <w:styleLink w:val="WWNum9"/>
    <w:lvl w:ilvl="0">
      <w:numFmt w:val="bullet"/>
      <w:lvlText w:val="-"/>
      <w:lvlJc w:val="left"/>
      <w:pPr>
        <w:ind w:left="720" w:hanging="360"/>
      </w:pPr>
      <w:rPr>
        <w:rFonts w:ascii="Times New Roman" w:hAnsi="Times New Roman" w:cs="Calibri"/>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26E7C12"/>
    <w:multiLevelType w:val="multilevel"/>
    <w:tmpl w:val="22F2FEA6"/>
    <w:styleLink w:val="WWNum17"/>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2926DBD"/>
    <w:multiLevelType w:val="multilevel"/>
    <w:tmpl w:val="60B6A438"/>
    <w:styleLink w:val="WWNum20"/>
    <w:lvl w:ilvl="0">
      <w:numFmt w:val="bullet"/>
      <w:lvlText w:val="-"/>
      <w:lvlJc w:val="left"/>
      <w:pPr>
        <w:ind w:left="720" w:hanging="360"/>
      </w:pPr>
      <w:rPr>
        <w:rFonts w:ascii="Times New Roman" w:hAnsi="Times New Roman"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4563D56"/>
    <w:multiLevelType w:val="multilevel"/>
    <w:tmpl w:val="89A0585E"/>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7400B52"/>
    <w:multiLevelType w:val="multilevel"/>
    <w:tmpl w:val="D16497C2"/>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BFA60E8"/>
    <w:multiLevelType w:val="multilevel"/>
    <w:tmpl w:val="C2248100"/>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E110E5F"/>
    <w:multiLevelType w:val="multilevel"/>
    <w:tmpl w:val="EC88D7C6"/>
    <w:styleLink w:val="WWNum16"/>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FCB3A23"/>
    <w:multiLevelType w:val="multilevel"/>
    <w:tmpl w:val="0C382942"/>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60E7C5F"/>
    <w:multiLevelType w:val="multilevel"/>
    <w:tmpl w:val="28AA814C"/>
    <w:styleLink w:val="WWNum41"/>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89859D7"/>
    <w:multiLevelType w:val="multilevel"/>
    <w:tmpl w:val="D0C0E092"/>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8BE139D"/>
    <w:multiLevelType w:val="multilevel"/>
    <w:tmpl w:val="2A16D18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395D7393"/>
    <w:multiLevelType w:val="multilevel"/>
    <w:tmpl w:val="1E562DFE"/>
    <w:styleLink w:val="WWNum44"/>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96C25DD"/>
    <w:multiLevelType w:val="multilevel"/>
    <w:tmpl w:val="9D64A888"/>
    <w:styleLink w:val="WWNum12"/>
    <w:lvl w:ilvl="0">
      <w:numFmt w:val="bullet"/>
      <w:lvlText w:val="•"/>
      <w:lvlJc w:val="left"/>
      <w:pPr>
        <w:ind w:left="135" w:hanging="135"/>
      </w:pPr>
      <w:rPr>
        <w:b/>
        <w:bCs/>
        <w:w w:val="102"/>
        <w:lang w:val="it-IT" w:eastAsia="en-US" w:bidi="ar-SA"/>
      </w:rPr>
    </w:lvl>
    <w:lvl w:ilvl="1">
      <w:numFmt w:val="bullet"/>
      <w:lvlText w:val="•"/>
      <w:lvlJc w:val="left"/>
      <w:pPr>
        <w:ind w:left="1067" w:hanging="135"/>
      </w:pPr>
      <w:rPr>
        <w:lang w:val="it-IT" w:eastAsia="en-US" w:bidi="ar-SA"/>
      </w:rPr>
    </w:lvl>
    <w:lvl w:ilvl="2">
      <w:numFmt w:val="bullet"/>
      <w:lvlText w:val="•"/>
      <w:lvlJc w:val="left"/>
      <w:pPr>
        <w:ind w:left="1999" w:hanging="135"/>
      </w:pPr>
      <w:rPr>
        <w:lang w:val="it-IT" w:eastAsia="en-US" w:bidi="ar-SA"/>
      </w:rPr>
    </w:lvl>
    <w:lvl w:ilvl="3">
      <w:numFmt w:val="bullet"/>
      <w:lvlText w:val="•"/>
      <w:lvlJc w:val="left"/>
      <w:pPr>
        <w:ind w:left="2931" w:hanging="135"/>
      </w:pPr>
      <w:rPr>
        <w:lang w:val="it-IT" w:eastAsia="en-US" w:bidi="ar-SA"/>
      </w:rPr>
    </w:lvl>
    <w:lvl w:ilvl="4">
      <w:numFmt w:val="bullet"/>
      <w:lvlText w:val="•"/>
      <w:lvlJc w:val="left"/>
      <w:pPr>
        <w:ind w:left="3863" w:hanging="135"/>
      </w:pPr>
      <w:rPr>
        <w:lang w:val="it-IT" w:eastAsia="en-US" w:bidi="ar-SA"/>
      </w:rPr>
    </w:lvl>
    <w:lvl w:ilvl="5">
      <w:numFmt w:val="bullet"/>
      <w:lvlText w:val="•"/>
      <w:lvlJc w:val="left"/>
      <w:pPr>
        <w:ind w:left="4795" w:hanging="135"/>
      </w:pPr>
      <w:rPr>
        <w:lang w:val="it-IT" w:eastAsia="en-US" w:bidi="ar-SA"/>
      </w:rPr>
    </w:lvl>
    <w:lvl w:ilvl="6">
      <w:numFmt w:val="bullet"/>
      <w:lvlText w:val="•"/>
      <w:lvlJc w:val="left"/>
      <w:pPr>
        <w:ind w:left="5727" w:hanging="135"/>
      </w:pPr>
      <w:rPr>
        <w:lang w:val="it-IT" w:eastAsia="en-US" w:bidi="ar-SA"/>
      </w:rPr>
    </w:lvl>
    <w:lvl w:ilvl="7">
      <w:numFmt w:val="bullet"/>
      <w:lvlText w:val="•"/>
      <w:lvlJc w:val="left"/>
      <w:pPr>
        <w:ind w:left="6659" w:hanging="135"/>
      </w:pPr>
      <w:rPr>
        <w:lang w:val="it-IT" w:eastAsia="en-US" w:bidi="ar-SA"/>
      </w:rPr>
    </w:lvl>
    <w:lvl w:ilvl="8">
      <w:numFmt w:val="bullet"/>
      <w:lvlText w:val="•"/>
      <w:lvlJc w:val="left"/>
      <w:pPr>
        <w:ind w:left="7591" w:hanging="135"/>
      </w:pPr>
      <w:rPr>
        <w:lang w:val="it-IT" w:eastAsia="en-US" w:bidi="ar-SA"/>
      </w:rPr>
    </w:lvl>
  </w:abstractNum>
  <w:abstractNum w:abstractNumId="20" w15:restartNumberingAfterBreak="0">
    <w:nsid w:val="39801C3D"/>
    <w:multiLevelType w:val="multilevel"/>
    <w:tmpl w:val="E8D49A22"/>
    <w:styleLink w:val="WWNum45"/>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10803F5"/>
    <w:multiLevelType w:val="multilevel"/>
    <w:tmpl w:val="DDE65E6A"/>
    <w:styleLink w:val="WWNum11"/>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25F73C0"/>
    <w:multiLevelType w:val="multilevel"/>
    <w:tmpl w:val="CCD234A2"/>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37E0DDE"/>
    <w:multiLevelType w:val="multilevel"/>
    <w:tmpl w:val="4A644352"/>
    <w:styleLink w:val="WWNum18"/>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455765B7"/>
    <w:multiLevelType w:val="multilevel"/>
    <w:tmpl w:val="F69EA63A"/>
    <w:styleLink w:val="WWNum2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45A33208"/>
    <w:multiLevelType w:val="multilevel"/>
    <w:tmpl w:val="4B5C9E10"/>
    <w:styleLink w:val="WWNum30"/>
    <w:lvl w:ilvl="0">
      <w:start w:val="1"/>
      <w:numFmt w:val="decimal"/>
      <w:lvlText w:val="%1."/>
      <w:lvlJc w:val="left"/>
      <w:pPr>
        <w:ind w:left="720" w:hanging="360"/>
      </w:pPr>
      <w:rPr>
        <w:b/>
        <w:bCs/>
        <w:color w:val="5B9BD5"/>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4AA847B3"/>
    <w:multiLevelType w:val="multilevel"/>
    <w:tmpl w:val="E16A5164"/>
    <w:styleLink w:val="WWNum42"/>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27" w15:restartNumberingAfterBreak="0">
    <w:nsid w:val="501B61D7"/>
    <w:multiLevelType w:val="multilevel"/>
    <w:tmpl w:val="A3A8E946"/>
    <w:styleLink w:val="WWNum34"/>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28" w15:restartNumberingAfterBreak="0">
    <w:nsid w:val="52332881"/>
    <w:multiLevelType w:val="multilevel"/>
    <w:tmpl w:val="33F46A8A"/>
    <w:styleLink w:val="WWNum15"/>
    <w:lvl w:ilvl="0">
      <w:numFmt w:val="bullet"/>
      <w:lvlText w:val="o"/>
      <w:lvlJc w:val="left"/>
      <w:pPr>
        <w:ind w:left="720" w:hanging="360"/>
      </w:pPr>
      <w:rPr>
        <w:rFonts w:ascii="Courier New" w:hAnsi="Courier New" w:cs="Courier New"/>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B7D0DFB"/>
    <w:multiLevelType w:val="multilevel"/>
    <w:tmpl w:val="0164D5D6"/>
    <w:styleLink w:val="WWNum35"/>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BAE670B"/>
    <w:multiLevelType w:val="multilevel"/>
    <w:tmpl w:val="C74C570A"/>
    <w:styleLink w:val="WWNum38"/>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02A6B82"/>
    <w:multiLevelType w:val="multilevel"/>
    <w:tmpl w:val="3860275A"/>
    <w:styleLink w:val="WWNum1"/>
    <w:lvl w:ilvl="0">
      <w:numFmt w:val="bullet"/>
      <w:lvlText w:val="o"/>
      <w:lvlJc w:val="left"/>
      <w:pPr>
        <w:ind w:left="720" w:hanging="360"/>
      </w:pPr>
      <w:rPr>
        <w:rFonts w:ascii="Courier New" w:hAnsi="Courier New"/>
      </w:rPr>
    </w:lvl>
    <w:lvl w:ilvl="1">
      <w:numFmt w:val="bullet"/>
      <w:lvlText w:val="o"/>
      <w:lvlJc w:val="left"/>
      <w:pPr>
        <w:ind w:left="1440" w:hanging="360"/>
      </w:pPr>
      <w:rPr>
        <w:rFonts w:ascii="Courier New" w:hAnsi="Courier New"/>
      </w:rPr>
    </w:lvl>
    <w:lvl w:ilvl="2">
      <w:numFmt w:val="bullet"/>
      <w:lvlText w:val="o"/>
      <w:lvlJc w:val="left"/>
      <w:pPr>
        <w:ind w:left="2160" w:hanging="360"/>
      </w:pPr>
      <w:rPr>
        <w:rFonts w:ascii="Courier New" w:hAnsi="Courier New"/>
      </w:rPr>
    </w:lvl>
    <w:lvl w:ilvl="3">
      <w:numFmt w:val="bullet"/>
      <w:lvlText w:val="o"/>
      <w:lvlJc w:val="left"/>
      <w:pPr>
        <w:ind w:left="2880" w:hanging="360"/>
      </w:pPr>
      <w:rPr>
        <w:rFonts w:ascii="Courier New" w:hAnsi="Courier New"/>
      </w:rPr>
    </w:lvl>
    <w:lvl w:ilvl="4">
      <w:numFmt w:val="bullet"/>
      <w:lvlText w:val="o"/>
      <w:lvlJc w:val="left"/>
      <w:pPr>
        <w:ind w:left="3600" w:hanging="360"/>
      </w:pPr>
      <w:rPr>
        <w:rFonts w:ascii="Courier New" w:hAnsi="Courier New"/>
      </w:rPr>
    </w:lvl>
    <w:lvl w:ilvl="5">
      <w:numFmt w:val="bullet"/>
      <w:lvlText w:val="o"/>
      <w:lvlJc w:val="left"/>
      <w:pPr>
        <w:ind w:left="4320" w:hanging="360"/>
      </w:pPr>
      <w:rPr>
        <w:rFonts w:ascii="Courier New" w:hAnsi="Courier New"/>
      </w:rPr>
    </w:lvl>
    <w:lvl w:ilvl="6">
      <w:numFmt w:val="bullet"/>
      <w:lvlText w:val="o"/>
      <w:lvlJc w:val="left"/>
      <w:pPr>
        <w:ind w:left="5040" w:hanging="360"/>
      </w:pPr>
      <w:rPr>
        <w:rFonts w:ascii="Courier New" w:hAnsi="Courier New"/>
      </w:rPr>
    </w:lvl>
    <w:lvl w:ilvl="7">
      <w:numFmt w:val="bullet"/>
      <w:lvlText w:val="o"/>
      <w:lvlJc w:val="left"/>
      <w:pPr>
        <w:ind w:left="5760" w:hanging="360"/>
      </w:pPr>
      <w:rPr>
        <w:rFonts w:ascii="Courier New" w:hAnsi="Courier New"/>
      </w:rPr>
    </w:lvl>
    <w:lvl w:ilvl="8">
      <w:numFmt w:val="bullet"/>
      <w:lvlText w:val="o"/>
      <w:lvlJc w:val="left"/>
      <w:pPr>
        <w:ind w:left="6480" w:hanging="360"/>
      </w:pPr>
      <w:rPr>
        <w:rFonts w:ascii="Courier New" w:hAnsi="Courier New"/>
      </w:rPr>
    </w:lvl>
  </w:abstractNum>
  <w:abstractNum w:abstractNumId="32" w15:restartNumberingAfterBreak="0">
    <w:nsid w:val="6183191F"/>
    <w:multiLevelType w:val="multilevel"/>
    <w:tmpl w:val="F9724A1A"/>
    <w:styleLink w:val="WWNum31"/>
    <w:lvl w:ilvl="0">
      <w:numFmt w:val="bullet"/>
      <w:lvlText w:val="•"/>
      <w:lvlJc w:val="left"/>
      <w:pPr>
        <w:ind w:left="1440" w:hanging="360"/>
      </w:pPr>
      <w:rPr>
        <w:rFonts w:ascii="Times New Roman" w:eastAsia="Microsoft Sans Serif" w:hAnsi="Times New Roman" w:cs="Microsoft Sans Serif"/>
        <w:color w:val="565656"/>
        <w:w w:val="100"/>
        <w:sz w:val="13"/>
        <w:szCs w:val="13"/>
        <w:lang w:val="it-IT" w:eastAsia="en-US" w:bidi="ar-SA"/>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3" w15:restartNumberingAfterBreak="0">
    <w:nsid w:val="638E1DB9"/>
    <w:multiLevelType w:val="multilevel"/>
    <w:tmpl w:val="0CA0D298"/>
    <w:styleLink w:val="WWNum29"/>
    <w:lvl w:ilvl="0">
      <w:numFmt w:val="bullet"/>
      <w:lvlText w:val="•"/>
      <w:lvlJc w:val="left"/>
      <w:pPr>
        <w:ind w:left="720" w:hanging="360"/>
      </w:pPr>
      <w:rPr>
        <w:rFonts w:ascii="Times New Roman" w:eastAsia="Microsoft Sans Serif" w:hAnsi="Times New Roman" w:cs="Microsoft Sans Serif"/>
        <w:color w:val="004F9E"/>
        <w:w w:val="104"/>
        <w:sz w:val="13"/>
        <w:szCs w:val="13"/>
        <w:lang w:val="it-IT"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39A692F"/>
    <w:multiLevelType w:val="multilevel"/>
    <w:tmpl w:val="003C6C38"/>
    <w:styleLink w:val="WWNum1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5280134"/>
    <w:multiLevelType w:val="multilevel"/>
    <w:tmpl w:val="C6484078"/>
    <w:styleLink w:val="WWNum21"/>
    <w:lvl w:ilvl="0">
      <w:numFmt w:val="bullet"/>
      <w:lvlText w:val="-"/>
      <w:lvlJc w:val="left"/>
      <w:pPr>
        <w:ind w:left="1428" w:hanging="360"/>
      </w:pPr>
      <w:rPr>
        <w:rFonts w:ascii="Times New Roman" w:hAnsi="Times New Roman" w:cs="Calibri"/>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36" w15:restartNumberingAfterBreak="0">
    <w:nsid w:val="65F52904"/>
    <w:multiLevelType w:val="multilevel"/>
    <w:tmpl w:val="874007F0"/>
    <w:styleLink w:val="WWNum36"/>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37" w15:restartNumberingAfterBreak="0">
    <w:nsid w:val="699C420D"/>
    <w:multiLevelType w:val="multilevel"/>
    <w:tmpl w:val="733C5EE0"/>
    <w:styleLink w:val="WWNum1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6BC47F32"/>
    <w:multiLevelType w:val="multilevel"/>
    <w:tmpl w:val="C77468F2"/>
    <w:styleLink w:val="WWNum27"/>
    <w:lvl w:ilvl="0">
      <w:start w:val="1"/>
      <w:numFmt w:val="decimal"/>
      <w:lvlText w:val="%1."/>
      <w:lvlJc w:val="left"/>
      <w:pPr>
        <w:ind w:left="1080" w:hanging="360"/>
      </w:pPr>
      <w:rPr>
        <w:color w:val="00000A"/>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703C78B7"/>
    <w:multiLevelType w:val="multilevel"/>
    <w:tmpl w:val="C4A6B4C8"/>
    <w:styleLink w:val="WWNum46"/>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1BD3D49"/>
    <w:multiLevelType w:val="multilevel"/>
    <w:tmpl w:val="B97083D4"/>
    <w:styleLink w:val="WWNum32"/>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41" w15:restartNumberingAfterBreak="0">
    <w:nsid w:val="753D063C"/>
    <w:multiLevelType w:val="multilevel"/>
    <w:tmpl w:val="B70609B0"/>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77BA5A7E"/>
    <w:multiLevelType w:val="multilevel"/>
    <w:tmpl w:val="B0FAF886"/>
    <w:styleLink w:val="WWNum40"/>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43" w15:restartNumberingAfterBreak="0">
    <w:nsid w:val="7A9C733E"/>
    <w:multiLevelType w:val="multilevel"/>
    <w:tmpl w:val="AFE69530"/>
    <w:styleLink w:val="WWNum43"/>
    <w:lvl w:ilvl="0">
      <w:numFmt w:val="bullet"/>
      <w:lvlText w:val="o"/>
      <w:lvlJc w:val="left"/>
      <w:pPr>
        <w:ind w:left="768" w:hanging="360"/>
      </w:pPr>
      <w:rPr>
        <w:rFonts w:ascii="Courier New" w:hAnsi="Courier New" w:cs="Courier New"/>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44" w15:restartNumberingAfterBreak="0">
    <w:nsid w:val="7A9F65C4"/>
    <w:multiLevelType w:val="multilevel"/>
    <w:tmpl w:val="DED8914A"/>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BC927E1"/>
    <w:multiLevelType w:val="multilevel"/>
    <w:tmpl w:val="43EC2114"/>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C7C79CE"/>
    <w:multiLevelType w:val="multilevel"/>
    <w:tmpl w:val="516CFF80"/>
    <w:styleLink w:val="WWNum22"/>
    <w:lvl w:ilvl="0">
      <w:numFmt w:val="bullet"/>
      <w:lvlText w:val="-"/>
      <w:lvlJc w:val="left"/>
      <w:pPr>
        <w:ind w:left="720" w:hanging="360"/>
      </w:pPr>
      <w:rPr>
        <w:rFonts w:ascii="Times New Roman" w:hAnsi="Times New Roman"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76789722">
    <w:abstractNumId w:val="31"/>
  </w:num>
  <w:num w:numId="2" w16cid:durableId="797600806">
    <w:abstractNumId w:val="44"/>
  </w:num>
  <w:num w:numId="3" w16cid:durableId="463548405">
    <w:abstractNumId w:val="14"/>
  </w:num>
  <w:num w:numId="4" w16cid:durableId="348914729">
    <w:abstractNumId w:val="41"/>
  </w:num>
  <w:num w:numId="5" w16cid:durableId="115293005">
    <w:abstractNumId w:val="17"/>
  </w:num>
  <w:num w:numId="6" w16cid:durableId="1864319567">
    <w:abstractNumId w:val="16"/>
  </w:num>
  <w:num w:numId="7" w16cid:durableId="1934169149">
    <w:abstractNumId w:val="6"/>
  </w:num>
  <w:num w:numId="8" w16cid:durableId="206576084">
    <w:abstractNumId w:val="3"/>
  </w:num>
  <w:num w:numId="9" w16cid:durableId="1163929386">
    <w:abstractNumId w:val="7"/>
  </w:num>
  <w:num w:numId="10" w16cid:durableId="777136925">
    <w:abstractNumId w:val="11"/>
  </w:num>
  <w:num w:numId="11" w16cid:durableId="1330786348">
    <w:abstractNumId w:val="21"/>
  </w:num>
  <w:num w:numId="12" w16cid:durableId="2042123705">
    <w:abstractNumId w:val="19"/>
  </w:num>
  <w:num w:numId="13" w16cid:durableId="451561947">
    <w:abstractNumId w:val="34"/>
  </w:num>
  <w:num w:numId="14" w16cid:durableId="653098648">
    <w:abstractNumId w:val="12"/>
  </w:num>
  <w:num w:numId="15" w16cid:durableId="1443762114">
    <w:abstractNumId w:val="28"/>
  </w:num>
  <w:num w:numId="16" w16cid:durableId="615332458">
    <w:abstractNumId w:val="13"/>
  </w:num>
  <w:num w:numId="17" w16cid:durableId="2023429135">
    <w:abstractNumId w:val="8"/>
  </w:num>
  <w:num w:numId="18" w16cid:durableId="2027171875">
    <w:abstractNumId w:val="23"/>
  </w:num>
  <w:num w:numId="19" w16cid:durableId="432551449">
    <w:abstractNumId w:val="37"/>
  </w:num>
  <w:num w:numId="20" w16cid:durableId="812674764">
    <w:abstractNumId w:val="9"/>
  </w:num>
  <w:num w:numId="21" w16cid:durableId="1281304708">
    <w:abstractNumId w:val="35"/>
  </w:num>
  <w:num w:numId="22" w16cid:durableId="1150292523">
    <w:abstractNumId w:val="46"/>
  </w:num>
  <w:num w:numId="23" w16cid:durableId="837035760">
    <w:abstractNumId w:val="10"/>
  </w:num>
  <w:num w:numId="24" w16cid:durableId="535777133">
    <w:abstractNumId w:val="45"/>
  </w:num>
  <w:num w:numId="25" w16cid:durableId="1222785531">
    <w:abstractNumId w:val="24"/>
  </w:num>
  <w:num w:numId="26" w16cid:durableId="404228625">
    <w:abstractNumId w:val="0"/>
  </w:num>
  <w:num w:numId="27" w16cid:durableId="1302004972">
    <w:abstractNumId w:val="38"/>
  </w:num>
  <w:num w:numId="28" w16cid:durableId="1097949105">
    <w:abstractNumId w:val="1"/>
  </w:num>
  <w:num w:numId="29" w16cid:durableId="1688411018">
    <w:abstractNumId w:val="33"/>
  </w:num>
  <w:num w:numId="30" w16cid:durableId="539585024">
    <w:abstractNumId w:val="25"/>
  </w:num>
  <w:num w:numId="31" w16cid:durableId="189228545">
    <w:abstractNumId w:val="32"/>
  </w:num>
  <w:num w:numId="32" w16cid:durableId="1568372985">
    <w:abstractNumId w:val="40"/>
  </w:num>
  <w:num w:numId="33" w16cid:durableId="1518303275">
    <w:abstractNumId w:val="22"/>
  </w:num>
  <w:num w:numId="34" w16cid:durableId="1723552128">
    <w:abstractNumId w:val="27"/>
  </w:num>
  <w:num w:numId="35" w16cid:durableId="2004821433">
    <w:abstractNumId w:val="29"/>
  </w:num>
  <w:num w:numId="36" w16cid:durableId="1793556348">
    <w:abstractNumId w:val="36"/>
  </w:num>
  <w:num w:numId="37" w16cid:durableId="1797798280">
    <w:abstractNumId w:val="4"/>
  </w:num>
  <w:num w:numId="38" w16cid:durableId="1303774224">
    <w:abstractNumId w:val="30"/>
  </w:num>
  <w:num w:numId="39" w16cid:durableId="4792261">
    <w:abstractNumId w:val="2"/>
  </w:num>
  <w:num w:numId="40" w16cid:durableId="1527596481">
    <w:abstractNumId w:val="42"/>
  </w:num>
  <w:num w:numId="41" w16cid:durableId="1340037387">
    <w:abstractNumId w:val="15"/>
  </w:num>
  <w:num w:numId="42" w16cid:durableId="1693847312">
    <w:abstractNumId w:val="26"/>
  </w:num>
  <w:num w:numId="43" w16cid:durableId="1634168597">
    <w:abstractNumId w:val="43"/>
  </w:num>
  <w:num w:numId="44" w16cid:durableId="1468356571">
    <w:abstractNumId w:val="18"/>
  </w:num>
  <w:num w:numId="45" w16cid:durableId="1399983627">
    <w:abstractNumId w:val="20"/>
  </w:num>
  <w:num w:numId="46" w16cid:durableId="1473073">
    <w:abstractNumId w:val="39"/>
  </w:num>
  <w:num w:numId="47" w16cid:durableId="1458572860">
    <w:abstractNumId w:val="24"/>
  </w:num>
  <w:num w:numId="48" w16cid:durableId="1265920508">
    <w:abstractNumId w:val="5"/>
  </w:num>
  <w:num w:numId="49" w16cid:durableId="1910728119">
    <w:abstractNumId w:val="37"/>
    <w:lvlOverride w:ilvl="0">
      <w:startOverride w:val="1"/>
    </w:lvlOverride>
  </w:num>
  <w:num w:numId="50" w16cid:durableId="157960699">
    <w:abstractNumId w:val="21"/>
  </w:num>
  <w:num w:numId="51" w16cid:durableId="223755458">
    <w:abstractNumId w:val="28"/>
  </w:num>
  <w:num w:numId="52" w16cid:durableId="1933854782">
    <w:abstractNumId w:val="40"/>
  </w:num>
  <w:num w:numId="53" w16cid:durableId="935288165">
    <w:abstractNumId w:val="22"/>
  </w:num>
  <w:num w:numId="54" w16cid:durableId="722366974">
    <w:abstractNumId w:val="29"/>
  </w:num>
  <w:num w:numId="55" w16cid:durableId="1450660527">
    <w:abstractNumId w:val="36"/>
  </w:num>
  <w:num w:numId="56" w16cid:durableId="620956833">
    <w:abstractNumId w:val="4"/>
  </w:num>
  <w:num w:numId="57" w16cid:durableId="85656617">
    <w:abstractNumId w:val="2"/>
  </w:num>
  <w:num w:numId="58" w16cid:durableId="999190600">
    <w:abstractNumId w:val="42"/>
  </w:num>
  <w:num w:numId="59" w16cid:durableId="945507510">
    <w:abstractNumId w:val="15"/>
  </w:num>
  <w:num w:numId="60" w16cid:durableId="211550565">
    <w:abstractNumId w:val="26"/>
  </w:num>
  <w:num w:numId="61" w16cid:durableId="1068840059">
    <w:abstractNumId w:val="43"/>
  </w:num>
  <w:num w:numId="62" w16cid:durableId="505824096">
    <w:abstractNumId w:val="18"/>
  </w:num>
  <w:num w:numId="63" w16cid:durableId="1014310373">
    <w:abstractNumId w:val="20"/>
  </w:num>
  <w:num w:numId="64" w16cid:durableId="2042440491">
    <w:abstractNumId w:val="39"/>
  </w:num>
  <w:num w:numId="65" w16cid:durableId="1972322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04A"/>
    <w:rsid w:val="00003892"/>
    <w:rsid w:val="0001080D"/>
    <w:rsid w:val="00013268"/>
    <w:rsid w:val="00035ABB"/>
    <w:rsid w:val="00063B40"/>
    <w:rsid w:val="000731DF"/>
    <w:rsid w:val="000A2227"/>
    <w:rsid w:val="00155C5D"/>
    <w:rsid w:val="00182F69"/>
    <w:rsid w:val="001A2DA5"/>
    <w:rsid w:val="001B49BD"/>
    <w:rsid w:val="001C62C3"/>
    <w:rsid w:val="001C7D20"/>
    <w:rsid w:val="002C3B5D"/>
    <w:rsid w:val="0031139A"/>
    <w:rsid w:val="00331DA9"/>
    <w:rsid w:val="00342190"/>
    <w:rsid w:val="00364AFE"/>
    <w:rsid w:val="003C3744"/>
    <w:rsid w:val="00455B46"/>
    <w:rsid w:val="00491254"/>
    <w:rsid w:val="004A66A7"/>
    <w:rsid w:val="00507C3D"/>
    <w:rsid w:val="005148A0"/>
    <w:rsid w:val="005622D2"/>
    <w:rsid w:val="0057704A"/>
    <w:rsid w:val="00682565"/>
    <w:rsid w:val="006B6AF7"/>
    <w:rsid w:val="007E175C"/>
    <w:rsid w:val="007F3B35"/>
    <w:rsid w:val="0080614F"/>
    <w:rsid w:val="00813509"/>
    <w:rsid w:val="00814F37"/>
    <w:rsid w:val="00870AEE"/>
    <w:rsid w:val="00883920"/>
    <w:rsid w:val="00884992"/>
    <w:rsid w:val="00990791"/>
    <w:rsid w:val="009B10E0"/>
    <w:rsid w:val="009C5F47"/>
    <w:rsid w:val="00A34E62"/>
    <w:rsid w:val="00A52864"/>
    <w:rsid w:val="00A54FEE"/>
    <w:rsid w:val="00A800AB"/>
    <w:rsid w:val="00A83B7A"/>
    <w:rsid w:val="00AD0276"/>
    <w:rsid w:val="00B12F71"/>
    <w:rsid w:val="00C10581"/>
    <w:rsid w:val="00C17AFA"/>
    <w:rsid w:val="00C33BF0"/>
    <w:rsid w:val="00C57CCC"/>
    <w:rsid w:val="00D8703B"/>
    <w:rsid w:val="00EA04DA"/>
    <w:rsid w:val="00EC7110"/>
    <w:rsid w:val="00F35381"/>
    <w:rsid w:val="00F51AD9"/>
    <w:rsid w:val="00F61AB0"/>
    <w:rsid w:val="00F75FEC"/>
    <w:rsid w:val="00F832C2"/>
    <w:rsid w:val="00FD4D7E"/>
    <w:rsid w:val="00FD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61B87"/>
  <w15:docId w15:val="{C5F3F79F-F093-4439-B264-29F8A0CB5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it-IT" w:eastAsia="en-US" w:bidi="ar-SA"/>
      </w:rPr>
    </w:rPrDefault>
    <w:pPrDefault>
      <w:pPr>
        <w:widowControl w:val="0"/>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Textbody"/>
    <w:uiPriority w:val="9"/>
    <w:qFormat/>
    <w:pPr>
      <w:keepNext/>
      <w:keepLines/>
      <w:spacing w:before="240" w:after="0"/>
      <w:outlineLvl w:val="0"/>
    </w:pPr>
    <w:rPr>
      <w:rFonts w:ascii="Calibri Light" w:hAnsi="Calibri Light"/>
      <w:color w:val="2E74B5"/>
      <w:sz w:val="32"/>
      <w:szCs w:val="32"/>
    </w:rPr>
  </w:style>
  <w:style w:type="paragraph" w:styleId="Titolo2">
    <w:name w:val="heading 2"/>
    <w:basedOn w:val="Standard"/>
    <w:next w:val="Textbody"/>
    <w:uiPriority w:val="9"/>
    <w:unhideWhenUsed/>
    <w:qFormat/>
    <w:pPr>
      <w:keepNext/>
      <w:keepLines/>
      <w:spacing w:before="40" w:after="0"/>
      <w:outlineLvl w:val="1"/>
    </w:pPr>
    <w:rPr>
      <w:rFonts w:ascii="Calibri Light" w:hAnsi="Calibri Light"/>
      <w:color w:val="2E74B5"/>
      <w:sz w:val="26"/>
      <w:szCs w:val="26"/>
    </w:rPr>
  </w:style>
  <w:style w:type="paragraph" w:styleId="Titolo3">
    <w:name w:val="heading 3"/>
    <w:basedOn w:val="Standard"/>
    <w:next w:val="Textbody"/>
    <w:uiPriority w:val="9"/>
    <w:unhideWhenUsed/>
    <w:qFormat/>
    <w:pPr>
      <w:keepNext/>
      <w:keepLines/>
      <w:spacing w:before="40" w:after="0"/>
      <w:outlineLvl w:val="2"/>
    </w:pPr>
    <w:rPr>
      <w:rFonts w:ascii="Calibri Light" w:hAnsi="Calibri Light"/>
      <w:color w:val="1F4D78"/>
      <w:sz w:val="24"/>
      <w:szCs w:val="24"/>
    </w:rPr>
  </w:style>
  <w:style w:type="paragraph" w:styleId="Titolo4">
    <w:name w:val="heading 4"/>
    <w:basedOn w:val="Standard"/>
    <w:next w:val="Textbody"/>
    <w:uiPriority w:val="9"/>
    <w:unhideWhenUsed/>
    <w:qFormat/>
    <w:pPr>
      <w:keepNext/>
      <w:keepLines/>
      <w:spacing w:before="40" w:after="0"/>
      <w:outlineLvl w:val="3"/>
    </w:pPr>
    <w:rPr>
      <w:rFonts w:ascii="Calibri Light" w:hAnsi="Calibri Light"/>
      <w:i/>
      <w:iCs/>
      <w:color w:val="2E74B5"/>
    </w:rPr>
  </w:style>
  <w:style w:type="paragraph" w:styleId="Titolo5">
    <w:name w:val="heading 5"/>
    <w:basedOn w:val="Standard"/>
    <w:next w:val="Textbody"/>
    <w:uiPriority w:val="9"/>
    <w:unhideWhenUsed/>
    <w:qFormat/>
    <w:pPr>
      <w:keepNext/>
      <w:keepLines/>
      <w:spacing w:before="40" w:after="0"/>
      <w:outlineLvl w:val="4"/>
    </w:pPr>
    <w:rPr>
      <w:rFonts w:ascii="Calibri Light" w:hAnsi="Calibri Light"/>
      <w:color w:val="2E74B5"/>
    </w:rPr>
  </w:style>
  <w:style w:type="paragraph" w:styleId="Titolo6">
    <w:name w:val="heading 6"/>
    <w:basedOn w:val="Standard"/>
    <w:next w:val="Textbody"/>
    <w:uiPriority w:val="9"/>
    <w:semiHidden/>
    <w:unhideWhenUsed/>
    <w:qFormat/>
    <w:pPr>
      <w:keepNext/>
      <w:keepLines/>
      <w:spacing w:before="40" w:after="0"/>
      <w:outlineLvl w:val="5"/>
    </w:pPr>
    <w:rPr>
      <w:rFonts w:ascii="Calibri Light" w:hAnsi="Calibri Light"/>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Citazioneintensa">
    <w:name w:val="Intense Quote"/>
    <w:basedOn w:val="Standard"/>
    <w:pPr>
      <w:pBdr>
        <w:top w:val="single" w:sz="4" w:space="10" w:color="5B9BD5"/>
        <w:bottom w:val="single" w:sz="4" w:space="10" w:color="5B9BD5"/>
      </w:pBdr>
      <w:spacing w:before="360" w:after="360"/>
      <w:ind w:left="864" w:right="864"/>
      <w:jc w:val="center"/>
    </w:pPr>
    <w:rPr>
      <w:i/>
      <w:iCs/>
      <w:color w:val="5B9BD5"/>
    </w:rPr>
  </w:style>
  <w:style w:type="paragraph" w:styleId="Intestazione">
    <w:name w:val="header"/>
    <w:basedOn w:val="Standard"/>
    <w:pPr>
      <w:suppressLineNumbers/>
      <w:tabs>
        <w:tab w:val="center" w:pos="4819"/>
        <w:tab w:val="right" w:pos="9638"/>
      </w:tabs>
      <w:spacing w:after="0" w:line="240" w:lineRule="auto"/>
    </w:pPr>
  </w:style>
  <w:style w:type="paragraph" w:styleId="Pidipagina">
    <w:name w:val="footer"/>
    <w:basedOn w:val="Standard"/>
    <w:pPr>
      <w:suppressLineNumbers/>
      <w:tabs>
        <w:tab w:val="center" w:pos="4819"/>
        <w:tab w:val="right" w:pos="9638"/>
      </w:tabs>
      <w:spacing w:after="0" w:line="240" w:lineRule="auto"/>
    </w:pPr>
  </w:style>
  <w:style w:type="paragraph" w:styleId="Paragrafoelenco">
    <w:name w:val="List Paragraph"/>
    <w:basedOn w:val="Standard"/>
    <w:pPr>
      <w:ind w:left="720"/>
    </w:pPr>
  </w:style>
  <w:style w:type="paragraph" w:styleId="Testonotaapidipagina">
    <w:name w:val="footnote text"/>
    <w:basedOn w:val="Standard"/>
    <w:pPr>
      <w:spacing w:after="0" w:line="240" w:lineRule="auto"/>
    </w:pPr>
    <w:rPr>
      <w:sz w:val="20"/>
      <w:szCs w:val="20"/>
    </w:rPr>
  </w:style>
  <w:style w:type="paragraph" w:styleId="Testonormale">
    <w:name w:val="Plain Text"/>
    <w:basedOn w:val="Standard"/>
    <w:pPr>
      <w:spacing w:after="0" w:line="240" w:lineRule="auto"/>
    </w:pPr>
    <w:rPr>
      <w:szCs w:val="21"/>
    </w:rPr>
  </w:style>
  <w:style w:type="paragraph" w:customStyle="1" w:styleId="Default">
    <w:name w:val="Default"/>
    <w:pPr>
      <w:widowControl/>
      <w:suppressAutoHyphens/>
      <w:spacing w:after="0" w:line="240" w:lineRule="auto"/>
    </w:pPr>
    <w:rPr>
      <w:rFonts w:ascii="Times New Roman" w:hAnsi="Times New Roman" w:cs="Times New Roman"/>
      <w:color w:val="000000"/>
      <w:sz w:val="24"/>
      <w:szCs w:val="24"/>
    </w:rPr>
  </w:style>
  <w:style w:type="paragraph" w:styleId="NormaleWeb">
    <w:name w:val="Normal (Web)"/>
    <w:basedOn w:val="Standard"/>
    <w:pPr>
      <w:spacing w:before="100" w:after="100" w:line="240" w:lineRule="auto"/>
    </w:pPr>
    <w:rPr>
      <w:rFonts w:ascii="Times New Roman" w:eastAsia="Times New Roman" w:hAnsi="Times New Roman" w:cs="Times New Roman"/>
      <w:sz w:val="24"/>
      <w:szCs w:val="24"/>
      <w:lang w:eastAsia="it-IT"/>
    </w:rPr>
  </w:style>
  <w:style w:type="paragraph" w:styleId="Testofumetto">
    <w:name w:val="Balloon Text"/>
    <w:basedOn w:val="Standard"/>
    <w:pPr>
      <w:spacing w:after="0" w:line="240" w:lineRule="auto"/>
    </w:pPr>
    <w:rPr>
      <w:rFonts w:ascii="Segoe UI" w:hAnsi="Segoe UI" w:cs="Segoe UI"/>
      <w:sz w:val="18"/>
      <w:szCs w:val="18"/>
    </w:rPr>
  </w:style>
  <w:style w:type="paragraph" w:styleId="Testonotadichiusura">
    <w:name w:val="endnote text"/>
    <w:basedOn w:val="Standard"/>
    <w:pPr>
      <w:spacing w:after="0" w:line="240" w:lineRule="auto"/>
    </w:pPr>
    <w:rPr>
      <w:sz w:val="20"/>
      <w:szCs w:val="20"/>
    </w:rPr>
  </w:style>
  <w:style w:type="paragraph" w:customStyle="1" w:styleId="ContentsHeading">
    <w:name w:val="Contents Heading"/>
    <w:basedOn w:val="Titolo1"/>
    <w:pPr>
      <w:suppressLineNumbers/>
    </w:pPr>
    <w:rPr>
      <w:b/>
      <w:bCs/>
      <w:lang w:eastAsia="it-IT"/>
    </w:rPr>
  </w:style>
  <w:style w:type="paragraph" w:customStyle="1" w:styleId="Contents2">
    <w:name w:val="Contents 2"/>
    <w:basedOn w:val="Standard"/>
    <w:pPr>
      <w:tabs>
        <w:tab w:val="right" w:leader="dot" w:pos="9848"/>
      </w:tabs>
      <w:spacing w:after="100"/>
      <w:ind w:left="220"/>
    </w:pPr>
    <w:rPr>
      <w:b/>
      <w:bCs/>
      <w:color w:val="034990"/>
    </w:rPr>
  </w:style>
  <w:style w:type="paragraph" w:customStyle="1" w:styleId="Contents3">
    <w:name w:val="Contents 3"/>
    <w:basedOn w:val="Standard"/>
    <w:pPr>
      <w:tabs>
        <w:tab w:val="right" w:leader="dot" w:pos="10068"/>
      </w:tabs>
      <w:spacing w:after="100"/>
      <w:ind w:left="440"/>
    </w:pPr>
    <w:rPr>
      <w:color w:val="034990"/>
    </w:rPr>
  </w:style>
  <w:style w:type="paragraph" w:customStyle="1" w:styleId="Contents1">
    <w:name w:val="Contents 1"/>
    <w:basedOn w:val="Standard"/>
    <w:pPr>
      <w:tabs>
        <w:tab w:val="right" w:leader="dot" w:pos="9638"/>
      </w:tabs>
      <w:spacing w:after="100"/>
    </w:pPr>
    <w:rPr>
      <w:rFonts w:cs="Times New Roman"/>
      <w:lang w:eastAsia="it-IT"/>
    </w:rPr>
  </w:style>
  <w:style w:type="paragraph" w:styleId="Testocommento">
    <w:name w:val="annotation text"/>
    <w:basedOn w:val="Standard"/>
    <w:pPr>
      <w:spacing w:line="240" w:lineRule="auto"/>
    </w:pPr>
    <w:rPr>
      <w:sz w:val="20"/>
      <w:szCs w:val="20"/>
    </w:rPr>
  </w:style>
  <w:style w:type="paragraph" w:styleId="Soggettocommento">
    <w:name w:val="annotation subject"/>
    <w:basedOn w:val="Testocommento"/>
    <w:rPr>
      <w:b/>
      <w:bCs/>
    </w:rPr>
  </w:style>
  <w:style w:type="paragraph" w:customStyle="1" w:styleId="pf0">
    <w:name w:val="pf0"/>
    <w:basedOn w:val="Standard"/>
    <w:pPr>
      <w:spacing w:before="100" w:after="100" w:line="240" w:lineRule="auto"/>
    </w:pPr>
    <w:rPr>
      <w:rFonts w:ascii="Times New Roman" w:eastAsia="Times New Roman" w:hAnsi="Times New Roman" w:cs="Times New Roman"/>
      <w:sz w:val="24"/>
      <w:szCs w:val="24"/>
      <w:lang w:eastAsia="it-IT"/>
    </w:rPr>
  </w:style>
  <w:style w:type="paragraph" w:customStyle="1" w:styleId="Footnote">
    <w:name w:val="Footnote"/>
    <w:basedOn w:val="Standard"/>
    <w:pPr>
      <w:suppressLineNumbers/>
      <w:ind w:left="283" w:hanging="283"/>
    </w:pPr>
    <w:rPr>
      <w:sz w:val="20"/>
      <w:szCs w:val="20"/>
    </w:rPr>
  </w:style>
  <w:style w:type="character" w:customStyle="1" w:styleId="CitazioneintensaCarattere">
    <w:name w:val="Citazione intensa Carattere"/>
    <w:basedOn w:val="Carpredefinitoparagrafo"/>
    <w:rPr>
      <w:i/>
      <w:iCs/>
      <w:color w:val="5B9BD5"/>
    </w:r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libri Light" w:hAnsi="Calibri Light" w:cs="F"/>
      <w:color w:val="2E74B5"/>
      <w:sz w:val="32"/>
      <w:szCs w:val="32"/>
    </w:rPr>
  </w:style>
  <w:style w:type="character" w:customStyle="1" w:styleId="TestonotaapidipaginaCarattere">
    <w:name w:val="Testo nota a piè di pagina Carattere"/>
    <w:basedOn w:val="Carpredefinitoparagrafo"/>
    <w:rPr>
      <w:sz w:val="20"/>
      <w:szCs w:val="20"/>
    </w:rPr>
  </w:style>
  <w:style w:type="character" w:styleId="Rimandonotaapidipagina">
    <w:name w:val="footnote reference"/>
    <w:basedOn w:val="Carpredefinitoparagrafo"/>
    <w:rPr>
      <w:position w:val="0"/>
      <w:vertAlign w:val="superscript"/>
    </w:rPr>
  </w:style>
  <w:style w:type="character" w:customStyle="1" w:styleId="Internetlink">
    <w:name w:val="Internet link"/>
    <w:basedOn w:val="Carpredefinitoparagrafo"/>
    <w:rPr>
      <w:color w:val="0563C1"/>
      <w:u w:val="single"/>
    </w:rPr>
  </w:style>
  <w:style w:type="character" w:customStyle="1" w:styleId="TestonormaleCarattere">
    <w:name w:val="Testo normale Carattere"/>
    <w:basedOn w:val="Carpredefinitoparagrafo"/>
    <w:rPr>
      <w:rFonts w:ascii="Calibri" w:hAnsi="Calibri"/>
      <w:szCs w:val="21"/>
    </w:rPr>
  </w:style>
  <w:style w:type="character" w:customStyle="1" w:styleId="Titolo2Carattere">
    <w:name w:val="Titolo 2 Carattere"/>
    <w:basedOn w:val="Carpredefinitoparagrafo"/>
    <w:rPr>
      <w:rFonts w:ascii="Calibri Light" w:hAnsi="Calibri Light" w:cs="F"/>
      <w:color w:val="2E74B5"/>
      <w:sz w:val="26"/>
      <w:szCs w:val="26"/>
    </w:rPr>
  </w:style>
  <w:style w:type="character" w:styleId="Enfasiintensa">
    <w:name w:val="Intense Emphasis"/>
    <w:basedOn w:val="Carpredefinitoparagrafo"/>
    <w:rPr>
      <w:i/>
      <w:iCs/>
      <w:color w:val="5B9BD5"/>
    </w:rPr>
  </w:style>
  <w:style w:type="character" w:customStyle="1" w:styleId="TestofumettoCarattere">
    <w:name w:val="Testo fumetto Carattere"/>
    <w:basedOn w:val="Carpredefinitoparagrafo"/>
    <w:rPr>
      <w:rFonts w:ascii="Segoe UI" w:hAnsi="Segoe UI" w:cs="Segoe UI"/>
      <w:sz w:val="18"/>
      <w:szCs w:val="18"/>
    </w:rPr>
  </w:style>
  <w:style w:type="character" w:customStyle="1" w:styleId="Titolo4Carattere">
    <w:name w:val="Titolo 4 Carattere"/>
    <w:basedOn w:val="Carpredefinitoparagrafo"/>
    <w:rPr>
      <w:rFonts w:ascii="Calibri Light" w:hAnsi="Calibri Light" w:cs="F"/>
      <w:i/>
      <w:iCs/>
      <w:color w:val="2E74B5"/>
    </w:rPr>
  </w:style>
  <w:style w:type="character" w:customStyle="1" w:styleId="TestonotadichiusuraCarattere">
    <w:name w:val="Testo nota di chiusura Carattere"/>
    <w:basedOn w:val="Carpredefinitoparagrafo"/>
    <w:rPr>
      <w:sz w:val="20"/>
      <w:szCs w:val="20"/>
    </w:rPr>
  </w:style>
  <w:style w:type="character" w:styleId="Rimandonotadichiusura">
    <w:name w:val="endnote reference"/>
    <w:basedOn w:val="Carpredefinitoparagrafo"/>
    <w:rPr>
      <w:position w:val="0"/>
      <w:vertAlign w:val="superscript"/>
    </w:rPr>
  </w:style>
  <w:style w:type="character" w:customStyle="1" w:styleId="jlqj4b">
    <w:name w:val="jlqj4b"/>
    <w:basedOn w:val="Carpredefinitoparagrafo"/>
  </w:style>
  <w:style w:type="character" w:customStyle="1" w:styleId="fszzbb">
    <w:name w:val="fszzbb"/>
    <w:basedOn w:val="Carpredefinitoparagrafo"/>
  </w:style>
  <w:style w:type="character" w:customStyle="1" w:styleId="Titolo3Carattere">
    <w:name w:val="Titolo 3 Carattere"/>
    <w:basedOn w:val="Carpredefinitoparagrafo"/>
    <w:rPr>
      <w:rFonts w:ascii="Calibri Light" w:hAnsi="Calibri Light" w:cs="F"/>
      <w:color w:val="1F4D78"/>
      <w:sz w:val="24"/>
      <w:szCs w:val="24"/>
    </w:rPr>
  </w:style>
  <w:style w:type="character" w:customStyle="1" w:styleId="StrongEmphasis">
    <w:name w:val="Strong Emphasis"/>
    <w:basedOn w:val="Carpredefinitoparagrafo"/>
    <w:rPr>
      <w:b/>
      <w:bCs/>
    </w:rPr>
  </w:style>
  <w:style w:type="character" w:styleId="Menzionenonrisolta">
    <w:name w:val="Unresolved Mention"/>
    <w:basedOn w:val="Carpredefinitoparagrafo"/>
    <w:rPr>
      <w:color w:val="605E5C"/>
    </w:rPr>
  </w:style>
  <w:style w:type="character" w:styleId="Collegamentovisitato">
    <w:name w:val="FollowedHyperlink"/>
    <w:basedOn w:val="Carpredefinitoparagrafo"/>
    <w:rPr>
      <w:color w:val="954F72"/>
      <w:u w:val="single"/>
    </w:rPr>
  </w:style>
  <w:style w:type="character" w:customStyle="1" w:styleId="Titolo5Carattere">
    <w:name w:val="Titolo 5 Carattere"/>
    <w:basedOn w:val="Carpredefinitoparagrafo"/>
    <w:rPr>
      <w:rFonts w:ascii="Calibri Light" w:hAnsi="Calibri Light" w:cs="F"/>
      <w:color w:val="2E74B5"/>
    </w:rPr>
  </w:style>
  <w:style w:type="character" w:customStyle="1" w:styleId="Titolo6Carattere">
    <w:name w:val="Titolo 6 Carattere"/>
    <w:basedOn w:val="Carpredefinitoparagrafo"/>
    <w:rPr>
      <w:rFonts w:ascii="Calibri Light" w:hAnsi="Calibri Light" w:cs="F"/>
      <w:color w:val="1F4D78"/>
    </w:rPr>
  </w:style>
  <w:style w:type="character" w:styleId="Enfasicorsivo">
    <w:name w:val="Emphasis"/>
    <w:basedOn w:val="Carpredefinitoparagrafo"/>
    <w:rPr>
      <w:i/>
      <w:iCs/>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cf01">
    <w:name w:val="cf01"/>
    <w:basedOn w:val="Carpredefinitoparagrafo"/>
    <w:rPr>
      <w:rFonts w:ascii="Segoe UI" w:hAnsi="Segoe UI" w:cs="Segoe UI"/>
      <w:sz w:val="18"/>
      <w:szCs w:val="18"/>
    </w:rPr>
  </w:style>
  <w:style w:type="character" w:customStyle="1" w:styleId="ListLabel1">
    <w:name w:val="ListLabel 1"/>
    <w:rPr>
      <w:rFonts w:cs="Courier New"/>
    </w:rPr>
  </w:style>
  <w:style w:type="character" w:customStyle="1" w:styleId="ListLabel2">
    <w:name w:val="ListLabel 2"/>
    <w:rPr>
      <w:sz w:val="20"/>
    </w:rPr>
  </w:style>
  <w:style w:type="character" w:customStyle="1" w:styleId="ListLabel3">
    <w:name w:val="ListLabel 3"/>
    <w:rPr>
      <w:rFonts w:cs="Calibri"/>
      <w:b w:val="0"/>
    </w:rPr>
  </w:style>
  <w:style w:type="character" w:customStyle="1" w:styleId="ListLabel4">
    <w:name w:val="ListLabel 4"/>
    <w:rPr>
      <w:b/>
      <w:bCs/>
      <w:w w:val="102"/>
      <w:lang w:val="it-IT" w:eastAsia="en-US" w:bidi="ar-SA"/>
    </w:rPr>
  </w:style>
  <w:style w:type="character" w:customStyle="1" w:styleId="ListLabel5">
    <w:name w:val="ListLabel 5"/>
    <w:rPr>
      <w:lang w:val="it-IT" w:eastAsia="en-US" w:bidi="ar-SA"/>
    </w:rPr>
  </w:style>
  <w:style w:type="character" w:customStyle="1" w:styleId="ListLabel6">
    <w:name w:val="ListLabel 6"/>
    <w:rPr>
      <w:rFonts w:cs="Courier New"/>
      <w:b w:val="0"/>
    </w:rPr>
  </w:style>
  <w:style w:type="character" w:customStyle="1" w:styleId="ListLabel7">
    <w:name w:val="ListLabel 7"/>
    <w:rPr>
      <w:rFonts w:cs="Times New Roman"/>
    </w:rPr>
  </w:style>
  <w:style w:type="character" w:customStyle="1" w:styleId="ListLabel8">
    <w:name w:val="ListLabel 8"/>
    <w:rPr>
      <w:rFonts w:cs="Calibri"/>
    </w:rPr>
  </w:style>
  <w:style w:type="character" w:customStyle="1" w:styleId="ListLabel9">
    <w:name w:val="ListLabel 9"/>
    <w:rPr>
      <w:b/>
      <w:bCs/>
      <w:color w:val="0070C0"/>
    </w:rPr>
  </w:style>
  <w:style w:type="character" w:customStyle="1" w:styleId="ListLabel10">
    <w:name w:val="ListLabel 10"/>
    <w:rPr>
      <w:color w:val="00000A"/>
    </w:rPr>
  </w:style>
  <w:style w:type="character" w:customStyle="1" w:styleId="ListLabel11">
    <w:name w:val="ListLabel 11"/>
    <w:rPr>
      <w:b/>
      <w:bCs/>
      <w:color w:val="5B9BD5"/>
    </w:rPr>
  </w:style>
  <w:style w:type="character" w:customStyle="1" w:styleId="ListLabel12">
    <w:name w:val="ListLabel 12"/>
    <w:rPr>
      <w:rFonts w:eastAsia="Microsoft Sans Serif" w:cs="Microsoft Sans Serif"/>
      <w:color w:val="004F9E"/>
      <w:w w:val="104"/>
      <w:sz w:val="13"/>
      <w:szCs w:val="13"/>
      <w:lang w:val="it-IT" w:eastAsia="en-US" w:bidi="ar-SA"/>
    </w:rPr>
  </w:style>
  <w:style w:type="character" w:customStyle="1" w:styleId="ListLabel13">
    <w:name w:val="ListLabel 13"/>
    <w:rPr>
      <w:rFonts w:eastAsia="Microsoft Sans Serif" w:cs="Microsoft Sans Serif"/>
      <w:color w:val="565656"/>
      <w:w w:val="100"/>
      <w:sz w:val="13"/>
      <w:szCs w:val="13"/>
      <w:lang w:val="it-IT" w:eastAsia="en-US" w:bidi="ar-SA"/>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 w:type="numbering" w:customStyle="1" w:styleId="WWNum13">
    <w:name w:val="WWNum13"/>
    <w:basedOn w:val="Nessunelenco"/>
    <w:pPr>
      <w:numPr>
        <w:numId w:val="13"/>
      </w:numPr>
    </w:pPr>
  </w:style>
  <w:style w:type="numbering" w:customStyle="1" w:styleId="WWNum14">
    <w:name w:val="WWNum14"/>
    <w:basedOn w:val="Nessunelenco"/>
    <w:pPr>
      <w:numPr>
        <w:numId w:val="14"/>
      </w:numPr>
    </w:pPr>
  </w:style>
  <w:style w:type="numbering" w:customStyle="1" w:styleId="WWNum15">
    <w:name w:val="WWNum15"/>
    <w:basedOn w:val="Nessunelenco"/>
    <w:pPr>
      <w:numPr>
        <w:numId w:val="15"/>
      </w:numPr>
    </w:pPr>
  </w:style>
  <w:style w:type="numbering" w:customStyle="1" w:styleId="WWNum16">
    <w:name w:val="WWNum16"/>
    <w:basedOn w:val="Nessunelenco"/>
    <w:pPr>
      <w:numPr>
        <w:numId w:val="16"/>
      </w:numPr>
    </w:pPr>
  </w:style>
  <w:style w:type="numbering" w:customStyle="1" w:styleId="WWNum17">
    <w:name w:val="WWNum17"/>
    <w:basedOn w:val="Nessunelenco"/>
    <w:pPr>
      <w:numPr>
        <w:numId w:val="17"/>
      </w:numPr>
    </w:pPr>
  </w:style>
  <w:style w:type="numbering" w:customStyle="1" w:styleId="WWNum18">
    <w:name w:val="WWNum18"/>
    <w:basedOn w:val="Nessunelenco"/>
    <w:pPr>
      <w:numPr>
        <w:numId w:val="18"/>
      </w:numPr>
    </w:pPr>
  </w:style>
  <w:style w:type="numbering" w:customStyle="1" w:styleId="WWNum19">
    <w:name w:val="WWNum19"/>
    <w:basedOn w:val="Nessunelenco"/>
    <w:pPr>
      <w:numPr>
        <w:numId w:val="19"/>
      </w:numPr>
    </w:pPr>
  </w:style>
  <w:style w:type="numbering" w:customStyle="1" w:styleId="WWNum20">
    <w:name w:val="WWNum20"/>
    <w:basedOn w:val="Nessunelenco"/>
    <w:pPr>
      <w:numPr>
        <w:numId w:val="20"/>
      </w:numPr>
    </w:pPr>
  </w:style>
  <w:style w:type="numbering" w:customStyle="1" w:styleId="WWNum21">
    <w:name w:val="WWNum21"/>
    <w:basedOn w:val="Nessunelenco"/>
    <w:pPr>
      <w:numPr>
        <w:numId w:val="21"/>
      </w:numPr>
    </w:pPr>
  </w:style>
  <w:style w:type="numbering" w:customStyle="1" w:styleId="WWNum22">
    <w:name w:val="WWNum22"/>
    <w:basedOn w:val="Nessunelenco"/>
    <w:pPr>
      <w:numPr>
        <w:numId w:val="22"/>
      </w:numPr>
    </w:pPr>
  </w:style>
  <w:style w:type="numbering" w:customStyle="1" w:styleId="WWNum23">
    <w:name w:val="WWNum23"/>
    <w:basedOn w:val="Nessunelenco"/>
    <w:pPr>
      <w:numPr>
        <w:numId w:val="23"/>
      </w:numPr>
    </w:pPr>
  </w:style>
  <w:style w:type="numbering" w:customStyle="1" w:styleId="WWNum24">
    <w:name w:val="WWNum24"/>
    <w:basedOn w:val="Nessunelenco"/>
    <w:pPr>
      <w:numPr>
        <w:numId w:val="24"/>
      </w:numPr>
    </w:pPr>
  </w:style>
  <w:style w:type="numbering" w:customStyle="1" w:styleId="WWNum25">
    <w:name w:val="WWNum25"/>
    <w:basedOn w:val="Nessunelenco"/>
    <w:pPr>
      <w:numPr>
        <w:numId w:val="25"/>
      </w:numPr>
    </w:pPr>
  </w:style>
  <w:style w:type="numbering" w:customStyle="1" w:styleId="WWNum26">
    <w:name w:val="WWNum26"/>
    <w:basedOn w:val="Nessunelenco"/>
    <w:pPr>
      <w:numPr>
        <w:numId w:val="26"/>
      </w:numPr>
    </w:pPr>
  </w:style>
  <w:style w:type="numbering" w:customStyle="1" w:styleId="WWNum27">
    <w:name w:val="WWNum27"/>
    <w:basedOn w:val="Nessunelenco"/>
    <w:pPr>
      <w:numPr>
        <w:numId w:val="27"/>
      </w:numPr>
    </w:pPr>
  </w:style>
  <w:style w:type="numbering" w:customStyle="1" w:styleId="WWNum28">
    <w:name w:val="WWNum28"/>
    <w:basedOn w:val="Nessunelenco"/>
    <w:pPr>
      <w:numPr>
        <w:numId w:val="28"/>
      </w:numPr>
    </w:pPr>
  </w:style>
  <w:style w:type="numbering" w:customStyle="1" w:styleId="WWNum29">
    <w:name w:val="WWNum29"/>
    <w:basedOn w:val="Nessunelenco"/>
    <w:pPr>
      <w:numPr>
        <w:numId w:val="29"/>
      </w:numPr>
    </w:pPr>
  </w:style>
  <w:style w:type="numbering" w:customStyle="1" w:styleId="WWNum30">
    <w:name w:val="WWNum30"/>
    <w:basedOn w:val="Nessunelenco"/>
    <w:pPr>
      <w:numPr>
        <w:numId w:val="30"/>
      </w:numPr>
    </w:pPr>
  </w:style>
  <w:style w:type="numbering" w:customStyle="1" w:styleId="WWNum31">
    <w:name w:val="WWNum31"/>
    <w:basedOn w:val="Nessunelenco"/>
    <w:pPr>
      <w:numPr>
        <w:numId w:val="31"/>
      </w:numPr>
    </w:pPr>
  </w:style>
  <w:style w:type="numbering" w:customStyle="1" w:styleId="WWNum32">
    <w:name w:val="WWNum32"/>
    <w:basedOn w:val="Nessunelenco"/>
    <w:pPr>
      <w:numPr>
        <w:numId w:val="32"/>
      </w:numPr>
    </w:pPr>
  </w:style>
  <w:style w:type="numbering" w:customStyle="1" w:styleId="WWNum33">
    <w:name w:val="WWNum33"/>
    <w:basedOn w:val="Nessunelenco"/>
    <w:pPr>
      <w:numPr>
        <w:numId w:val="33"/>
      </w:numPr>
    </w:pPr>
  </w:style>
  <w:style w:type="numbering" w:customStyle="1" w:styleId="WWNum34">
    <w:name w:val="WWNum34"/>
    <w:basedOn w:val="Nessunelenco"/>
    <w:pPr>
      <w:numPr>
        <w:numId w:val="34"/>
      </w:numPr>
    </w:pPr>
  </w:style>
  <w:style w:type="numbering" w:customStyle="1" w:styleId="WWNum35">
    <w:name w:val="WWNum35"/>
    <w:basedOn w:val="Nessunelenco"/>
    <w:pPr>
      <w:numPr>
        <w:numId w:val="35"/>
      </w:numPr>
    </w:pPr>
  </w:style>
  <w:style w:type="numbering" w:customStyle="1" w:styleId="WWNum36">
    <w:name w:val="WWNum36"/>
    <w:basedOn w:val="Nessunelenco"/>
    <w:pPr>
      <w:numPr>
        <w:numId w:val="36"/>
      </w:numPr>
    </w:pPr>
  </w:style>
  <w:style w:type="numbering" w:customStyle="1" w:styleId="WWNum37">
    <w:name w:val="WWNum37"/>
    <w:basedOn w:val="Nessunelenco"/>
    <w:pPr>
      <w:numPr>
        <w:numId w:val="37"/>
      </w:numPr>
    </w:pPr>
  </w:style>
  <w:style w:type="numbering" w:customStyle="1" w:styleId="WWNum38">
    <w:name w:val="WWNum38"/>
    <w:basedOn w:val="Nessunelenco"/>
    <w:pPr>
      <w:numPr>
        <w:numId w:val="38"/>
      </w:numPr>
    </w:pPr>
  </w:style>
  <w:style w:type="numbering" w:customStyle="1" w:styleId="WWNum39">
    <w:name w:val="WWNum39"/>
    <w:basedOn w:val="Nessunelenco"/>
    <w:pPr>
      <w:numPr>
        <w:numId w:val="39"/>
      </w:numPr>
    </w:pPr>
  </w:style>
  <w:style w:type="numbering" w:customStyle="1" w:styleId="WWNum40">
    <w:name w:val="WWNum40"/>
    <w:basedOn w:val="Nessunelenco"/>
    <w:pPr>
      <w:numPr>
        <w:numId w:val="40"/>
      </w:numPr>
    </w:pPr>
  </w:style>
  <w:style w:type="numbering" w:customStyle="1" w:styleId="WWNum41">
    <w:name w:val="WWNum41"/>
    <w:basedOn w:val="Nessunelenco"/>
    <w:pPr>
      <w:numPr>
        <w:numId w:val="41"/>
      </w:numPr>
    </w:pPr>
  </w:style>
  <w:style w:type="numbering" w:customStyle="1" w:styleId="WWNum42">
    <w:name w:val="WWNum42"/>
    <w:basedOn w:val="Nessunelenco"/>
    <w:pPr>
      <w:numPr>
        <w:numId w:val="42"/>
      </w:numPr>
    </w:pPr>
  </w:style>
  <w:style w:type="numbering" w:customStyle="1" w:styleId="WWNum43">
    <w:name w:val="WWNum43"/>
    <w:basedOn w:val="Nessunelenco"/>
    <w:pPr>
      <w:numPr>
        <w:numId w:val="43"/>
      </w:numPr>
    </w:pPr>
  </w:style>
  <w:style w:type="numbering" w:customStyle="1" w:styleId="WWNum44">
    <w:name w:val="WWNum44"/>
    <w:basedOn w:val="Nessunelenco"/>
    <w:pPr>
      <w:numPr>
        <w:numId w:val="44"/>
      </w:numPr>
    </w:pPr>
  </w:style>
  <w:style w:type="numbering" w:customStyle="1" w:styleId="WWNum45">
    <w:name w:val="WWNum45"/>
    <w:basedOn w:val="Nessunelenco"/>
    <w:pPr>
      <w:numPr>
        <w:numId w:val="45"/>
      </w:numPr>
    </w:pPr>
  </w:style>
  <w:style w:type="numbering" w:customStyle="1" w:styleId="WWNum46">
    <w:name w:val="WWNum46"/>
    <w:basedOn w:val="Nessunelenco"/>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c.europa.eu/european-social-fund-plus/en/social-innovation-match/case-study"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14596</Words>
  <Characters>83203</Characters>
  <Application>Microsoft Office Word</Application>
  <DocSecurity>0</DocSecurity>
  <Lines>693</Lines>
  <Paragraphs>195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Cianni</dc:creator>
  <cp:lastModifiedBy>Paolina Notaro</cp:lastModifiedBy>
  <cp:revision>2</cp:revision>
  <cp:lastPrinted>2019-11-25T09:43:00Z</cp:lastPrinted>
  <dcterms:created xsi:type="dcterms:W3CDTF">2023-09-06T10:28:00Z</dcterms:created>
  <dcterms:modified xsi:type="dcterms:W3CDTF">2023-09-06T10:28:00Z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